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756C7" w14:textId="77777777" w:rsidR="002D361A" w:rsidRDefault="002D361A" w:rsidP="002D361A">
      <w:pPr>
        <w:jc w:val="center"/>
        <w:rPr>
          <w:b/>
          <w:sz w:val="28"/>
          <w:szCs w:val="28"/>
        </w:rPr>
      </w:pPr>
      <w:r>
        <w:rPr>
          <w:noProof/>
          <w:lang w:eastAsia="fr-FR"/>
        </w:rPr>
        <w:drawing>
          <wp:inline distT="0" distB="0" distL="0" distR="0" wp14:anchorId="320F6816" wp14:editId="1418DD20">
            <wp:extent cx="1580083" cy="715599"/>
            <wp:effectExtent l="0" t="0" r="1270" b="8890"/>
            <wp:docPr id="1" name="Image 1" descr="RÃ©sultat de recherche d'images pour &quot;logo af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logo afd&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402" cy="721631"/>
                    </a:xfrm>
                    <a:prstGeom prst="rect">
                      <a:avLst/>
                    </a:prstGeom>
                    <a:noFill/>
                    <a:ln>
                      <a:noFill/>
                    </a:ln>
                  </pic:spPr>
                </pic:pic>
              </a:graphicData>
            </a:graphic>
          </wp:inline>
        </w:drawing>
      </w:r>
    </w:p>
    <w:p w14:paraId="1348C8A4" w14:textId="77777777" w:rsidR="002D361A" w:rsidRPr="00491397" w:rsidRDefault="002D361A" w:rsidP="002D361A">
      <w:pPr>
        <w:rPr>
          <w:b/>
          <w:sz w:val="20"/>
          <w:szCs w:val="20"/>
        </w:rPr>
      </w:pPr>
    </w:p>
    <w:p w14:paraId="6A4605D4" w14:textId="77777777" w:rsidR="002D361A" w:rsidRPr="00491397" w:rsidRDefault="002D361A" w:rsidP="002D361A">
      <w:pPr>
        <w:pBdr>
          <w:top w:val="single" w:sz="4" w:space="1" w:color="auto"/>
          <w:left w:val="single" w:sz="4" w:space="4" w:color="auto"/>
          <w:bottom w:val="single" w:sz="4" w:space="1" w:color="auto"/>
          <w:right w:val="single" w:sz="4" w:space="4" w:color="auto"/>
        </w:pBdr>
        <w:jc w:val="center"/>
        <w:rPr>
          <w:b/>
          <w:sz w:val="28"/>
          <w:szCs w:val="28"/>
        </w:rPr>
      </w:pPr>
      <w:r w:rsidRPr="00491397">
        <w:rPr>
          <w:b/>
          <w:sz w:val="28"/>
          <w:szCs w:val="28"/>
        </w:rPr>
        <w:t xml:space="preserve">FISONG </w:t>
      </w:r>
      <w:r>
        <w:rPr>
          <w:b/>
          <w:sz w:val="28"/>
          <w:szCs w:val="28"/>
        </w:rPr>
        <w:t xml:space="preserve">2021 </w:t>
      </w:r>
    </w:p>
    <w:p w14:paraId="1B5A9672" w14:textId="77777777" w:rsidR="002D361A" w:rsidRPr="00491397" w:rsidRDefault="002D361A" w:rsidP="002D361A">
      <w:pPr>
        <w:pBdr>
          <w:top w:val="single" w:sz="4" w:space="1" w:color="auto"/>
          <w:left w:val="single" w:sz="4" w:space="4" w:color="auto"/>
          <w:bottom w:val="single" w:sz="4" w:space="1" w:color="auto"/>
          <w:right w:val="single" w:sz="4" w:space="4" w:color="auto"/>
        </w:pBdr>
        <w:jc w:val="center"/>
        <w:rPr>
          <w:b/>
          <w:sz w:val="20"/>
          <w:szCs w:val="20"/>
        </w:rPr>
      </w:pPr>
      <w:bookmarkStart w:id="0" w:name="_GoBack"/>
    </w:p>
    <w:bookmarkEnd w:id="0"/>
    <w:p w14:paraId="7D4A53A0" w14:textId="77777777" w:rsidR="002D361A" w:rsidRDefault="002D361A" w:rsidP="002D361A">
      <w:pPr>
        <w:pBdr>
          <w:top w:val="single" w:sz="4" w:space="1" w:color="auto"/>
          <w:left w:val="single" w:sz="4" w:space="4" w:color="auto"/>
          <w:bottom w:val="single" w:sz="4" w:space="1" w:color="auto"/>
          <w:right w:val="single" w:sz="4" w:space="4" w:color="auto"/>
        </w:pBdr>
        <w:jc w:val="center"/>
        <w:rPr>
          <w:b/>
          <w:sz w:val="28"/>
          <w:szCs w:val="28"/>
        </w:rPr>
      </w:pPr>
      <w:r w:rsidRPr="00491397">
        <w:rPr>
          <w:b/>
          <w:sz w:val="28"/>
          <w:szCs w:val="28"/>
        </w:rPr>
        <w:t>« </w:t>
      </w:r>
      <w:r>
        <w:rPr>
          <w:b/>
          <w:sz w:val="28"/>
          <w:szCs w:val="28"/>
        </w:rPr>
        <w:t xml:space="preserve">Lutter contre les violences gynécologiques et obstétricales </w:t>
      </w:r>
      <w:r w:rsidRPr="00491397">
        <w:rPr>
          <w:b/>
          <w:sz w:val="28"/>
          <w:szCs w:val="28"/>
        </w:rPr>
        <w:t>»</w:t>
      </w:r>
    </w:p>
    <w:p w14:paraId="27771484" w14:textId="77777777" w:rsidR="002D361A" w:rsidRPr="00491397" w:rsidRDefault="002D361A" w:rsidP="002D361A">
      <w:pPr>
        <w:pBdr>
          <w:top w:val="single" w:sz="4" w:space="1" w:color="auto"/>
          <w:left w:val="single" w:sz="4" w:space="4" w:color="auto"/>
          <w:bottom w:val="single" w:sz="4" w:space="1" w:color="auto"/>
          <w:right w:val="single" w:sz="4" w:space="4" w:color="auto"/>
        </w:pBdr>
        <w:jc w:val="center"/>
        <w:rPr>
          <w:b/>
          <w:sz w:val="28"/>
          <w:szCs w:val="28"/>
        </w:rPr>
      </w:pPr>
    </w:p>
    <w:p w14:paraId="1E5ADB4E" w14:textId="77777777" w:rsidR="002D361A" w:rsidRDefault="002D361A" w:rsidP="002D361A">
      <w:pPr>
        <w:rPr>
          <w:b/>
        </w:rPr>
      </w:pPr>
    </w:p>
    <w:p w14:paraId="1E9C0087" w14:textId="77777777" w:rsidR="002D361A" w:rsidRDefault="002D361A" w:rsidP="002D361A">
      <w:pPr>
        <w:jc w:val="center"/>
        <w:rPr>
          <w:b/>
          <w:sz w:val="28"/>
          <w:szCs w:val="28"/>
        </w:rPr>
      </w:pPr>
    </w:p>
    <w:p w14:paraId="61CCEF91" w14:textId="77777777" w:rsidR="002D361A" w:rsidRDefault="002D361A" w:rsidP="002D361A">
      <w:pPr>
        <w:jc w:val="center"/>
        <w:rPr>
          <w:b/>
          <w:sz w:val="28"/>
          <w:szCs w:val="28"/>
        </w:rPr>
      </w:pPr>
    </w:p>
    <w:p w14:paraId="0291C2B3" w14:textId="5D9B3A78" w:rsidR="00647795" w:rsidRPr="00F94EAD" w:rsidRDefault="00647795" w:rsidP="00647795">
      <w:pPr>
        <w:spacing w:after="0" w:line="240" w:lineRule="auto"/>
        <w:jc w:val="center"/>
        <w:rPr>
          <w:rFonts w:ascii="Arial" w:eastAsia="Times New Roman" w:hAnsi="Arial" w:cs="Arial"/>
          <w:sz w:val="25"/>
          <w:szCs w:val="25"/>
          <w:lang w:eastAsia="fr-FR"/>
        </w:rPr>
      </w:pPr>
      <w:r w:rsidRPr="00F94EAD">
        <w:rPr>
          <w:rFonts w:ascii="Arial" w:eastAsia="Times New Roman" w:hAnsi="Arial" w:cs="Arial"/>
          <w:b/>
          <w:color w:val="FF0000"/>
          <w:sz w:val="25"/>
          <w:szCs w:val="25"/>
          <w:lang w:eastAsia="fr-FR"/>
        </w:rPr>
        <w:t xml:space="preserve">Une réunion de concertation </w:t>
      </w:r>
      <w:r>
        <w:rPr>
          <w:rFonts w:ascii="Arial" w:eastAsia="Times New Roman" w:hAnsi="Arial" w:cs="Arial"/>
          <w:b/>
          <w:color w:val="FF0000"/>
          <w:sz w:val="25"/>
          <w:szCs w:val="25"/>
          <w:lang w:eastAsia="fr-FR"/>
        </w:rPr>
        <w:t xml:space="preserve">à distance avec les ONG est organisée par </w:t>
      </w:r>
      <w:r w:rsidRPr="00F94EAD">
        <w:rPr>
          <w:rFonts w:ascii="Arial" w:eastAsia="Times New Roman" w:hAnsi="Arial" w:cs="Arial"/>
          <w:b/>
          <w:color w:val="FF0000"/>
          <w:sz w:val="25"/>
          <w:szCs w:val="25"/>
          <w:lang w:eastAsia="fr-FR"/>
        </w:rPr>
        <w:t xml:space="preserve">l’AFD </w:t>
      </w:r>
      <w:r w:rsidRPr="001C0D2C">
        <w:rPr>
          <w:rFonts w:ascii="Arial" w:eastAsia="Times New Roman" w:hAnsi="Arial" w:cs="Arial"/>
          <w:b/>
          <w:color w:val="FF0000"/>
          <w:sz w:val="25"/>
          <w:szCs w:val="25"/>
          <w:lang w:eastAsia="fr-FR"/>
        </w:rPr>
        <w:t>le 2</w:t>
      </w:r>
      <w:r>
        <w:rPr>
          <w:rFonts w:ascii="Arial" w:eastAsia="Times New Roman" w:hAnsi="Arial" w:cs="Arial"/>
          <w:b/>
          <w:color w:val="FF0000"/>
          <w:sz w:val="25"/>
          <w:szCs w:val="25"/>
          <w:lang w:eastAsia="fr-FR"/>
        </w:rPr>
        <w:t>2</w:t>
      </w:r>
      <w:r w:rsidRPr="001C0D2C">
        <w:rPr>
          <w:rFonts w:ascii="Arial" w:eastAsia="Times New Roman" w:hAnsi="Arial" w:cs="Arial"/>
          <w:b/>
          <w:color w:val="FF0000"/>
          <w:sz w:val="25"/>
          <w:szCs w:val="25"/>
          <w:lang w:eastAsia="fr-FR"/>
        </w:rPr>
        <w:t xml:space="preserve"> </w:t>
      </w:r>
      <w:r>
        <w:rPr>
          <w:rFonts w:ascii="Arial" w:eastAsia="Times New Roman" w:hAnsi="Arial" w:cs="Arial"/>
          <w:b/>
          <w:color w:val="FF0000"/>
          <w:sz w:val="25"/>
          <w:szCs w:val="25"/>
          <w:lang w:eastAsia="fr-FR"/>
        </w:rPr>
        <w:t>janvier</w:t>
      </w:r>
      <w:r w:rsidRPr="001C0D2C">
        <w:rPr>
          <w:rFonts w:ascii="Arial" w:eastAsia="Times New Roman" w:hAnsi="Arial" w:cs="Arial"/>
          <w:b/>
          <w:color w:val="FF0000"/>
          <w:sz w:val="25"/>
          <w:szCs w:val="25"/>
          <w:lang w:eastAsia="fr-FR"/>
        </w:rPr>
        <w:t xml:space="preserve"> 202</w:t>
      </w:r>
      <w:r>
        <w:rPr>
          <w:rFonts w:ascii="Arial" w:eastAsia="Times New Roman" w:hAnsi="Arial" w:cs="Arial"/>
          <w:b/>
          <w:color w:val="FF0000"/>
          <w:sz w:val="25"/>
          <w:szCs w:val="25"/>
          <w:lang w:eastAsia="fr-FR"/>
        </w:rPr>
        <w:t>1</w:t>
      </w:r>
      <w:r w:rsidRPr="001C0D2C">
        <w:rPr>
          <w:rFonts w:ascii="Arial" w:eastAsia="Times New Roman" w:hAnsi="Arial" w:cs="Arial"/>
          <w:b/>
          <w:color w:val="FF0000"/>
          <w:sz w:val="25"/>
          <w:szCs w:val="25"/>
          <w:lang w:eastAsia="fr-FR"/>
        </w:rPr>
        <w:t xml:space="preserve"> à 10h00. I</w:t>
      </w:r>
      <w:r w:rsidRPr="00F94EAD">
        <w:rPr>
          <w:rFonts w:ascii="Arial" w:eastAsia="Times New Roman" w:hAnsi="Arial" w:cs="Arial"/>
          <w:b/>
          <w:color w:val="FF0000"/>
          <w:sz w:val="25"/>
          <w:szCs w:val="25"/>
          <w:lang w:eastAsia="fr-FR"/>
        </w:rPr>
        <w:t xml:space="preserve">nscription </w:t>
      </w:r>
      <w:r>
        <w:rPr>
          <w:rFonts w:ascii="Arial" w:eastAsia="Times New Roman" w:hAnsi="Arial" w:cs="Arial"/>
          <w:b/>
          <w:color w:val="FF0000"/>
          <w:sz w:val="25"/>
          <w:szCs w:val="25"/>
          <w:lang w:eastAsia="fr-FR"/>
        </w:rPr>
        <w:t xml:space="preserve">obligatoire </w:t>
      </w:r>
      <w:r w:rsidRPr="00F94EAD">
        <w:rPr>
          <w:rFonts w:ascii="Arial" w:eastAsia="Times New Roman" w:hAnsi="Arial" w:cs="Arial"/>
          <w:b/>
          <w:color w:val="FF0000"/>
          <w:sz w:val="25"/>
          <w:szCs w:val="25"/>
          <w:lang w:eastAsia="fr-FR"/>
        </w:rPr>
        <w:t xml:space="preserve">sur </w:t>
      </w:r>
      <w:hyperlink r:id="rId9" w:history="1">
        <w:r w:rsidRPr="00F94EAD">
          <w:rPr>
            <w:rFonts w:ascii="Arial" w:eastAsia="Times New Roman" w:hAnsi="Arial" w:cs="Arial"/>
            <w:color w:val="0000FF"/>
            <w:sz w:val="25"/>
            <w:szCs w:val="25"/>
            <w:u w:val="single"/>
            <w:lang w:eastAsia="fr-FR"/>
          </w:rPr>
          <w:t>fisong@afd.fr</w:t>
        </w:r>
      </w:hyperlink>
    </w:p>
    <w:p w14:paraId="0E0F742E" w14:textId="77777777" w:rsidR="002D361A" w:rsidRDefault="002D361A" w:rsidP="002D361A">
      <w:pPr>
        <w:jc w:val="center"/>
        <w:rPr>
          <w:b/>
          <w:sz w:val="28"/>
          <w:szCs w:val="28"/>
        </w:rPr>
      </w:pPr>
    </w:p>
    <w:p w14:paraId="01E8CEC6" w14:textId="77777777" w:rsidR="002D361A" w:rsidRDefault="002D361A" w:rsidP="002D361A">
      <w:pPr>
        <w:jc w:val="center"/>
        <w:rPr>
          <w:b/>
          <w:sz w:val="28"/>
          <w:szCs w:val="28"/>
        </w:rPr>
      </w:pPr>
    </w:p>
    <w:p w14:paraId="5B512F09" w14:textId="77777777" w:rsidR="002D361A" w:rsidRDefault="002D361A" w:rsidP="002D361A">
      <w:pPr>
        <w:jc w:val="center"/>
        <w:rPr>
          <w:b/>
          <w:sz w:val="28"/>
          <w:szCs w:val="28"/>
        </w:rPr>
      </w:pPr>
    </w:p>
    <w:p w14:paraId="54865372" w14:textId="77777777" w:rsidR="002D361A" w:rsidRDefault="002D361A" w:rsidP="002D361A">
      <w:pPr>
        <w:jc w:val="center"/>
        <w:rPr>
          <w:b/>
          <w:sz w:val="28"/>
          <w:szCs w:val="28"/>
        </w:rPr>
      </w:pPr>
    </w:p>
    <w:p w14:paraId="403C31D4" w14:textId="77777777" w:rsidR="002D361A" w:rsidRDefault="002D361A" w:rsidP="002D361A">
      <w:pPr>
        <w:jc w:val="center"/>
        <w:rPr>
          <w:b/>
          <w:sz w:val="28"/>
          <w:szCs w:val="28"/>
        </w:rPr>
      </w:pPr>
    </w:p>
    <w:p w14:paraId="60505DB1" w14:textId="77777777" w:rsidR="002D361A" w:rsidRDefault="002D361A" w:rsidP="002D361A">
      <w:pPr>
        <w:jc w:val="center"/>
        <w:rPr>
          <w:b/>
          <w:sz w:val="28"/>
          <w:szCs w:val="28"/>
        </w:rPr>
      </w:pPr>
    </w:p>
    <w:p w14:paraId="06273AAD" w14:textId="77777777" w:rsidR="002D361A" w:rsidRDefault="002D361A" w:rsidP="002D361A">
      <w:pPr>
        <w:jc w:val="center"/>
        <w:rPr>
          <w:b/>
          <w:sz w:val="28"/>
          <w:szCs w:val="28"/>
        </w:rPr>
      </w:pPr>
    </w:p>
    <w:p w14:paraId="2A02BD7D" w14:textId="37FAC5C4" w:rsidR="00566820" w:rsidRDefault="002D361A" w:rsidP="002D361A">
      <w:pPr>
        <w:jc w:val="center"/>
        <w:rPr>
          <w:b/>
          <w:sz w:val="28"/>
          <w:szCs w:val="28"/>
        </w:rPr>
      </w:pPr>
      <w:r w:rsidRPr="00491397">
        <w:rPr>
          <w:b/>
          <w:sz w:val="28"/>
          <w:szCs w:val="28"/>
        </w:rPr>
        <w:t xml:space="preserve">Note de cadrage </w:t>
      </w:r>
      <w:r>
        <w:rPr>
          <w:b/>
          <w:sz w:val="28"/>
          <w:szCs w:val="28"/>
        </w:rPr>
        <w:t>provisoire</w:t>
      </w:r>
    </w:p>
    <w:p w14:paraId="2A81C027" w14:textId="1DA25DB2" w:rsidR="00566820" w:rsidRDefault="00566820">
      <w:pPr>
        <w:rPr>
          <w:b/>
          <w:sz w:val="28"/>
          <w:szCs w:val="28"/>
        </w:rPr>
      </w:pPr>
      <w:r>
        <w:rPr>
          <w:b/>
          <w:sz w:val="28"/>
          <w:szCs w:val="28"/>
        </w:rPr>
        <w:br w:type="page"/>
      </w:r>
    </w:p>
    <w:p w14:paraId="78F13D4B" w14:textId="1F7E1E1A" w:rsidR="00C62EEC" w:rsidRDefault="00C62EEC" w:rsidP="00C62EEC">
      <w:pPr>
        <w:jc w:val="center"/>
        <w:rPr>
          <w:b/>
          <w:sz w:val="28"/>
          <w:szCs w:val="28"/>
          <w:u w:val="single"/>
        </w:rPr>
      </w:pPr>
      <w:r w:rsidRPr="00C62EEC">
        <w:rPr>
          <w:b/>
          <w:sz w:val="28"/>
          <w:szCs w:val="28"/>
          <w:u w:val="single"/>
        </w:rPr>
        <w:lastRenderedPageBreak/>
        <w:t>Table des matières</w:t>
      </w:r>
    </w:p>
    <w:p w14:paraId="4455897C" w14:textId="77777777" w:rsidR="00C62EEC" w:rsidRPr="00C62EEC" w:rsidRDefault="00C62EEC" w:rsidP="00C62EEC">
      <w:pPr>
        <w:jc w:val="center"/>
        <w:rPr>
          <w:b/>
          <w:sz w:val="28"/>
          <w:szCs w:val="28"/>
          <w:u w:val="single"/>
        </w:rPr>
      </w:pPr>
    </w:p>
    <w:p w14:paraId="0137DBEE" w14:textId="1C84203B" w:rsidR="0034205F" w:rsidRDefault="00637C40">
      <w:pPr>
        <w:pStyle w:val="TM1"/>
        <w:tabs>
          <w:tab w:val="left" w:pos="440"/>
          <w:tab w:val="right" w:leader="dot" w:pos="9062"/>
        </w:tabs>
        <w:rPr>
          <w:rFonts w:eastAsiaTheme="minorEastAsia"/>
          <w:b w:val="0"/>
          <w:noProof/>
          <w:lang w:eastAsia="fr-FR"/>
        </w:rPr>
      </w:pPr>
      <w:r>
        <w:rPr>
          <w:b w:val="0"/>
          <w:sz w:val="28"/>
          <w:szCs w:val="28"/>
        </w:rPr>
        <w:fldChar w:fldCharType="begin"/>
      </w:r>
      <w:r>
        <w:rPr>
          <w:b w:val="0"/>
          <w:sz w:val="28"/>
          <w:szCs w:val="28"/>
        </w:rPr>
        <w:instrText xml:space="preserve"> TOC \f \h \z \t "Grand titre;1;Sous titre 1;2;Sous sous titre;3" </w:instrText>
      </w:r>
      <w:r>
        <w:rPr>
          <w:b w:val="0"/>
          <w:sz w:val="28"/>
          <w:szCs w:val="28"/>
        </w:rPr>
        <w:fldChar w:fldCharType="separate"/>
      </w:r>
      <w:hyperlink w:anchor="_Toc60939070" w:history="1">
        <w:r w:rsidR="0034205F" w:rsidRPr="004620AD">
          <w:rPr>
            <w:rStyle w:val="Lienhypertexte"/>
            <w:noProof/>
          </w:rPr>
          <w:t>1.</w:t>
        </w:r>
        <w:r w:rsidR="0034205F">
          <w:rPr>
            <w:rFonts w:eastAsiaTheme="minorEastAsia"/>
            <w:b w:val="0"/>
            <w:noProof/>
            <w:lang w:eastAsia="fr-FR"/>
          </w:rPr>
          <w:tab/>
        </w:r>
        <w:r w:rsidR="0034205F" w:rsidRPr="004620AD">
          <w:rPr>
            <w:rStyle w:val="Lienhypertexte"/>
            <w:noProof/>
          </w:rPr>
          <w:t>Rappel Sur L’instrument FISONG</w:t>
        </w:r>
        <w:r w:rsidR="0034205F">
          <w:rPr>
            <w:noProof/>
            <w:webHidden/>
          </w:rPr>
          <w:tab/>
        </w:r>
        <w:r w:rsidR="0034205F">
          <w:rPr>
            <w:noProof/>
            <w:webHidden/>
          </w:rPr>
          <w:fldChar w:fldCharType="begin"/>
        </w:r>
        <w:r w:rsidR="0034205F">
          <w:rPr>
            <w:noProof/>
            <w:webHidden/>
          </w:rPr>
          <w:instrText xml:space="preserve"> PAGEREF _Toc60939070 \h </w:instrText>
        </w:r>
        <w:r w:rsidR="0034205F">
          <w:rPr>
            <w:noProof/>
            <w:webHidden/>
          </w:rPr>
        </w:r>
        <w:r w:rsidR="0034205F">
          <w:rPr>
            <w:noProof/>
            <w:webHidden/>
          </w:rPr>
          <w:fldChar w:fldCharType="separate"/>
        </w:r>
        <w:r w:rsidR="0034205F">
          <w:rPr>
            <w:noProof/>
            <w:webHidden/>
          </w:rPr>
          <w:t>3</w:t>
        </w:r>
        <w:r w:rsidR="0034205F">
          <w:rPr>
            <w:noProof/>
            <w:webHidden/>
          </w:rPr>
          <w:fldChar w:fldCharType="end"/>
        </w:r>
      </w:hyperlink>
    </w:p>
    <w:p w14:paraId="56FCEAEA" w14:textId="25C80403" w:rsidR="0034205F" w:rsidRDefault="009C6E9A">
      <w:pPr>
        <w:pStyle w:val="TM1"/>
        <w:tabs>
          <w:tab w:val="left" w:pos="440"/>
          <w:tab w:val="right" w:leader="dot" w:pos="9062"/>
        </w:tabs>
        <w:rPr>
          <w:rFonts w:eastAsiaTheme="minorEastAsia"/>
          <w:b w:val="0"/>
          <w:noProof/>
          <w:lang w:eastAsia="fr-FR"/>
        </w:rPr>
      </w:pPr>
      <w:hyperlink w:anchor="_Toc60939071" w:history="1">
        <w:r w:rsidR="0034205F" w:rsidRPr="004620AD">
          <w:rPr>
            <w:rStyle w:val="Lienhypertexte"/>
            <w:noProof/>
          </w:rPr>
          <w:t>2.</w:t>
        </w:r>
        <w:r w:rsidR="0034205F">
          <w:rPr>
            <w:rFonts w:eastAsiaTheme="minorEastAsia"/>
            <w:b w:val="0"/>
            <w:noProof/>
            <w:lang w:eastAsia="fr-FR"/>
          </w:rPr>
          <w:tab/>
        </w:r>
        <w:r w:rsidR="0034205F" w:rsidRPr="004620AD">
          <w:rPr>
            <w:rStyle w:val="Lienhypertexte"/>
            <w:noProof/>
          </w:rPr>
          <w:t>Cadrage Général De L’appel À Propositions Fisong 2021 : « Lutter Contre Les Violences Gynécologiques Et Obstétricales »</w:t>
        </w:r>
        <w:r w:rsidR="0034205F">
          <w:rPr>
            <w:noProof/>
            <w:webHidden/>
          </w:rPr>
          <w:tab/>
        </w:r>
        <w:r w:rsidR="0034205F">
          <w:rPr>
            <w:noProof/>
            <w:webHidden/>
          </w:rPr>
          <w:fldChar w:fldCharType="begin"/>
        </w:r>
        <w:r w:rsidR="0034205F">
          <w:rPr>
            <w:noProof/>
            <w:webHidden/>
          </w:rPr>
          <w:instrText xml:space="preserve"> PAGEREF _Toc60939071 \h </w:instrText>
        </w:r>
        <w:r w:rsidR="0034205F">
          <w:rPr>
            <w:noProof/>
            <w:webHidden/>
          </w:rPr>
        </w:r>
        <w:r w:rsidR="0034205F">
          <w:rPr>
            <w:noProof/>
            <w:webHidden/>
          </w:rPr>
          <w:fldChar w:fldCharType="separate"/>
        </w:r>
        <w:r w:rsidR="0034205F">
          <w:rPr>
            <w:noProof/>
            <w:webHidden/>
          </w:rPr>
          <w:t>4</w:t>
        </w:r>
        <w:r w:rsidR="0034205F">
          <w:rPr>
            <w:noProof/>
            <w:webHidden/>
          </w:rPr>
          <w:fldChar w:fldCharType="end"/>
        </w:r>
      </w:hyperlink>
    </w:p>
    <w:p w14:paraId="3FCCE85A" w14:textId="525413A4" w:rsidR="0034205F" w:rsidRDefault="009C6E9A">
      <w:pPr>
        <w:pStyle w:val="TM2"/>
        <w:tabs>
          <w:tab w:val="left" w:pos="880"/>
          <w:tab w:val="right" w:leader="dot" w:pos="9062"/>
        </w:tabs>
        <w:rPr>
          <w:rFonts w:eastAsiaTheme="minorEastAsia"/>
          <w:noProof/>
          <w:lang w:eastAsia="fr-FR"/>
        </w:rPr>
      </w:pPr>
      <w:hyperlink w:anchor="_Toc60939072" w:history="1">
        <w:r w:rsidR="0034205F" w:rsidRPr="004620AD">
          <w:rPr>
            <w:rStyle w:val="Lienhypertexte"/>
            <w:noProof/>
          </w:rPr>
          <w:t>2.1.</w:t>
        </w:r>
        <w:r w:rsidR="0034205F">
          <w:rPr>
            <w:rFonts w:eastAsiaTheme="minorEastAsia"/>
            <w:noProof/>
            <w:lang w:eastAsia="fr-FR"/>
          </w:rPr>
          <w:tab/>
        </w:r>
        <w:r w:rsidR="0034205F" w:rsidRPr="004620AD">
          <w:rPr>
            <w:rStyle w:val="Lienhypertexte"/>
            <w:noProof/>
          </w:rPr>
          <w:t>L’émergence du concept de violences gynécologiques et obstétricales</w:t>
        </w:r>
        <w:r w:rsidR="0034205F">
          <w:rPr>
            <w:noProof/>
            <w:webHidden/>
          </w:rPr>
          <w:tab/>
        </w:r>
        <w:r w:rsidR="0034205F">
          <w:rPr>
            <w:noProof/>
            <w:webHidden/>
          </w:rPr>
          <w:fldChar w:fldCharType="begin"/>
        </w:r>
        <w:r w:rsidR="0034205F">
          <w:rPr>
            <w:noProof/>
            <w:webHidden/>
          </w:rPr>
          <w:instrText xml:space="preserve"> PAGEREF _Toc60939072 \h </w:instrText>
        </w:r>
        <w:r w:rsidR="0034205F">
          <w:rPr>
            <w:noProof/>
            <w:webHidden/>
          </w:rPr>
        </w:r>
        <w:r w:rsidR="0034205F">
          <w:rPr>
            <w:noProof/>
            <w:webHidden/>
          </w:rPr>
          <w:fldChar w:fldCharType="separate"/>
        </w:r>
        <w:r w:rsidR="0034205F">
          <w:rPr>
            <w:noProof/>
            <w:webHidden/>
          </w:rPr>
          <w:t>4</w:t>
        </w:r>
        <w:r w:rsidR="0034205F">
          <w:rPr>
            <w:noProof/>
            <w:webHidden/>
          </w:rPr>
          <w:fldChar w:fldCharType="end"/>
        </w:r>
      </w:hyperlink>
    </w:p>
    <w:p w14:paraId="32FAA5BB" w14:textId="1377E989" w:rsidR="0034205F" w:rsidRDefault="009C6E9A">
      <w:pPr>
        <w:pStyle w:val="TM2"/>
        <w:tabs>
          <w:tab w:val="left" w:pos="880"/>
          <w:tab w:val="right" w:leader="dot" w:pos="9062"/>
        </w:tabs>
        <w:rPr>
          <w:rFonts w:eastAsiaTheme="minorEastAsia"/>
          <w:noProof/>
          <w:lang w:eastAsia="fr-FR"/>
        </w:rPr>
      </w:pPr>
      <w:hyperlink w:anchor="_Toc60939073" w:history="1">
        <w:r w:rsidR="0034205F" w:rsidRPr="004620AD">
          <w:rPr>
            <w:rStyle w:val="Lienhypertexte"/>
            <w:rFonts w:cs="Calibri"/>
            <w:noProof/>
          </w:rPr>
          <w:t>2.2.</w:t>
        </w:r>
        <w:r w:rsidR="0034205F">
          <w:rPr>
            <w:rFonts w:eastAsiaTheme="minorEastAsia"/>
            <w:noProof/>
            <w:lang w:eastAsia="fr-FR"/>
          </w:rPr>
          <w:tab/>
        </w:r>
        <w:r w:rsidR="0034205F" w:rsidRPr="004620AD">
          <w:rPr>
            <w:rStyle w:val="Lienhypertexte"/>
            <w:noProof/>
          </w:rPr>
          <w:t>Des mobilisations sociales en France dans les années 2010</w:t>
        </w:r>
        <w:r w:rsidR="0034205F">
          <w:rPr>
            <w:noProof/>
            <w:webHidden/>
          </w:rPr>
          <w:tab/>
        </w:r>
        <w:r w:rsidR="0034205F">
          <w:rPr>
            <w:noProof/>
            <w:webHidden/>
          </w:rPr>
          <w:fldChar w:fldCharType="begin"/>
        </w:r>
        <w:r w:rsidR="0034205F">
          <w:rPr>
            <w:noProof/>
            <w:webHidden/>
          </w:rPr>
          <w:instrText xml:space="preserve"> PAGEREF _Toc60939073 \h </w:instrText>
        </w:r>
        <w:r w:rsidR="0034205F">
          <w:rPr>
            <w:noProof/>
            <w:webHidden/>
          </w:rPr>
        </w:r>
        <w:r w:rsidR="0034205F">
          <w:rPr>
            <w:noProof/>
            <w:webHidden/>
          </w:rPr>
          <w:fldChar w:fldCharType="separate"/>
        </w:r>
        <w:r w:rsidR="0034205F">
          <w:rPr>
            <w:noProof/>
            <w:webHidden/>
          </w:rPr>
          <w:t>5</w:t>
        </w:r>
        <w:r w:rsidR="0034205F">
          <w:rPr>
            <w:noProof/>
            <w:webHidden/>
          </w:rPr>
          <w:fldChar w:fldCharType="end"/>
        </w:r>
      </w:hyperlink>
    </w:p>
    <w:p w14:paraId="54B4B306" w14:textId="09F3AB22" w:rsidR="0034205F" w:rsidRDefault="009C6E9A">
      <w:pPr>
        <w:pStyle w:val="TM2"/>
        <w:tabs>
          <w:tab w:val="left" w:pos="880"/>
          <w:tab w:val="right" w:leader="dot" w:pos="9062"/>
        </w:tabs>
        <w:rPr>
          <w:rFonts w:eastAsiaTheme="minorEastAsia"/>
          <w:noProof/>
          <w:lang w:eastAsia="fr-FR"/>
        </w:rPr>
      </w:pPr>
      <w:hyperlink w:anchor="_Toc60939074" w:history="1">
        <w:r w:rsidR="0034205F" w:rsidRPr="004620AD">
          <w:rPr>
            <w:rStyle w:val="Lienhypertexte"/>
            <w:noProof/>
          </w:rPr>
          <w:t>2.3.</w:t>
        </w:r>
        <w:r w:rsidR="0034205F">
          <w:rPr>
            <w:rFonts w:eastAsiaTheme="minorEastAsia"/>
            <w:noProof/>
            <w:lang w:eastAsia="fr-FR"/>
          </w:rPr>
          <w:tab/>
        </w:r>
        <w:r w:rsidR="0034205F" w:rsidRPr="004620AD">
          <w:rPr>
            <w:rStyle w:val="Lienhypertexte"/>
            <w:noProof/>
          </w:rPr>
          <w:t>Les termes mobilisés pour caractériser ces violences</w:t>
        </w:r>
        <w:r w:rsidR="0034205F">
          <w:rPr>
            <w:noProof/>
            <w:webHidden/>
          </w:rPr>
          <w:tab/>
        </w:r>
        <w:r w:rsidR="0034205F">
          <w:rPr>
            <w:noProof/>
            <w:webHidden/>
          </w:rPr>
          <w:fldChar w:fldCharType="begin"/>
        </w:r>
        <w:r w:rsidR="0034205F">
          <w:rPr>
            <w:noProof/>
            <w:webHidden/>
          </w:rPr>
          <w:instrText xml:space="preserve"> PAGEREF _Toc60939074 \h </w:instrText>
        </w:r>
        <w:r w:rsidR="0034205F">
          <w:rPr>
            <w:noProof/>
            <w:webHidden/>
          </w:rPr>
        </w:r>
        <w:r w:rsidR="0034205F">
          <w:rPr>
            <w:noProof/>
            <w:webHidden/>
          </w:rPr>
          <w:fldChar w:fldCharType="separate"/>
        </w:r>
        <w:r w:rsidR="0034205F">
          <w:rPr>
            <w:noProof/>
            <w:webHidden/>
          </w:rPr>
          <w:t>5</w:t>
        </w:r>
        <w:r w:rsidR="0034205F">
          <w:rPr>
            <w:noProof/>
            <w:webHidden/>
          </w:rPr>
          <w:fldChar w:fldCharType="end"/>
        </w:r>
      </w:hyperlink>
    </w:p>
    <w:p w14:paraId="3344E0F2" w14:textId="07774DCA" w:rsidR="0034205F" w:rsidRDefault="009C6E9A">
      <w:pPr>
        <w:pStyle w:val="TM2"/>
        <w:tabs>
          <w:tab w:val="left" w:pos="880"/>
          <w:tab w:val="right" w:leader="dot" w:pos="9062"/>
        </w:tabs>
        <w:rPr>
          <w:rFonts w:eastAsiaTheme="minorEastAsia"/>
          <w:noProof/>
          <w:lang w:eastAsia="fr-FR"/>
        </w:rPr>
      </w:pPr>
      <w:hyperlink w:anchor="_Toc60939075" w:history="1">
        <w:r w:rsidR="0034205F" w:rsidRPr="004620AD">
          <w:rPr>
            <w:rStyle w:val="Lienhypertexte"/>
            <w:noProof/>
          </w:rPr>
          <w:t>2.4.</w:t>
        </w:r>
        <w:r w:rsidR="0034205F">
          <w:rPr>
            <w:rFonts w:eastAsiaTheme="minorEastAsia"/>
            <w:noProof/>
            <w:lang w:eastAsia="fr-FR"/>
          </w:rPr>
          <w:tab/>
        </w:r>
        <w:r w:rsidR="0034205F" w:rsidRPr="004620AD">
          <w:rPr>
            <w:rStyle w:val="Lienhypertexte"/>
            <w:noProof/>
          </w:rPr>
          <w:t>Un contexte institutionnel contribuant à la survenue de violence</w:t>
        </w:r>
        <w:r w:rsidR="0034205F">
          <w:rPr>
            <w:noProof/>
            <w:webHidden/>
          </w:rPr>
          <w:tab/>
        </w:r>
        <w:r w:rsidR="0034205F">
          <w:rPr>
            <w:noProof/>
            <w:webHidden/>
          </w:rPr>
          <w:fldChar w:fldCharType="begin"/>
        </w:r>
        <w:r w:rsidR="0034205F">
          <w:rPr>
            <w:noProof/>
            <w:webHidden/>
          </w:rPr>
          <w:instrText xml:space="preserve"> PAGEREF _Toc60939075 \h </w:instrText>
        </w:r>
        <w:r w:rsidR="0034205F">
          <w:rPr>
            <w:noProof/>
            <w:webHidden/>
          </w:rPr>
        </w:r>
        <w:r w:rsidR="0034205F">
          <w:rPr>
            <w:noProof/>
            <w:webHidden/>
          </w:rPr>
          <w:fldChar w:fldCharType="separate"/>
        </w:r>
        <w:r w:rsidR="0034205F">
          <w:rPr>
            <w:noProof/>
            <w:webHidden/>
          </w:rPr>
          <w:t>6</w:t>
        </w:r>
        <w:r w:rsidR="0034205F">
          <w:rPr>
            <w:noProof/>
            <w:webHidden/>
          </w:rPr>
          <w:fldChar w:fldCharType="end"/>
        </w:r>
      </w:hyperlink>
    </w:p>
    <w:p w14:paraId="74766FBD" w14:textId="6AC4B9F6" w:rsidR="0034205F" w:rsidRDefault="009C6E9A">
      <w:pPr>
        <w:pStyle w:val="TM2"/>
        <w:tabs>
          <w:tab w:val="left" w:pos="880"/>
          <w:tab w:val="right" w:leader="dot" w:pos="9062"/>
        </w:tabs>
        <w:rPr>
          <w:rFonts w:eastAsiaTheme="minorEastAsia"/>
          <w:noProof/>
          <w:lang w:eastAsia="fr-FR"/>
        </w:rPr>
      </w:pPr>
      <w:hyperlink w:anchor="_Toc60939076" w:history="1">
        <w:r w:rsidR="0034205F" w:rsidRPr="004620AD">
          <w:rPr>
            <w:rStyle w:val="Lienhypertexte"/>
            <w:noProof/>
          </w:rPr>
          <w:t>2.5.</w:t>
        </w:r>
        <w:r w:rsidR="0034205F">
          <w:rPr>
            <w:rFonts w:eastAsiaTheme="minorEastAsia"/>
            <w:noProof/>
            <w:lang w:eastAsia="fr-FR"/>
          </w:rPr>
          <w:tab/>
        </w:r>
        <w:r w:rsidR="0034205F" w:rsidRPr="004620AD">
          <w:rPr>
            <w:rStyle w:val="Lienhypertexte"/>
            <w:noProof/>
          </w:rPr>
          <w:t>Les conséquences des violences gynécologiques et obstétricales</w:t>
        </w:r>
        <w:r w:rsidR="0034205F">
          <w:rPr>
            <w:noProof/>
            <w:webHidden/>
          </w:rPr>
          <w:tab/>
        </w:r>
        <w:r w:rsidR="0034205F">
          <w:rPr>
            <w:noProof/>
            <w:webHidden/>
          </w:rPr>
          <w:fldChar w:fldCharType="begin"/>
        </w:r>
        <w:r w:rsidR="0034205F">
          <w:rPr>
            <w:noProof/>
            <w:webHidden/>
          </w:rPr>
          <w:instrText xml:space="preserve"> PAGEREF _Toc60939076 \h </w:instrText>
        </w:r>
        <w:r w:rsidR="0034205F">
          <w:rPr>
            <w:noProof/>
            <w:webHidden/>
          </w:rPr>
        </w:r>
        <w:r w:rsidR="0034205F">
          <w:rPr>
            <w:noProof/>
            <w:webHidden/>
          </w:rPr>
          <w:fldChar w:fldCharType="separate"/>
        </w:r>
        <w:r w:rsidR="0034205F">
          <w:rPr>
            <w:noProof/>
            <w:webHidden/>
          </w:rPr>
          <w:t>7</w:t>
        </w:r>
        <w:r w:rsidR="0034205F">
          <w:rPr>
            <w:noProof/>
            <w:webHidden/>
          </w:rPr>
          <w:fldChar w:fldCharType="end"/>
        </w:r>
      </w:hyperlink>
    </w:p>
    <w:p w14:paraId="7EA99EF7" w14:textId="389BDEE7" w:rsidR="0034205F" w:rsidRDefault="009C6E9A">
      <w:pPr>
        <w:pStyle w:val="TM2"/>
        <w:tabs>
          <w:tab w:val="left" w:pos="880"/>
          <w:tab w:val="right" w:leader="dot" w:pos="9062"/>
        </w:tabs>
        <w:rPr>
          <w:rFonts w:eastAsiaTheme="minorEastAsia"/>
          <w:noProof/>
          <w:lang w:eastAsia="fr-FR"/>
        </w:rPr>
      </w:pPr>
      <w:hyperlink w:anchor="_Toc60939077" w:history="1">
        <w:r w:rsidR="0034205F" w:rsidRPr="004620AD">
          <w:rPr>
            <w:rStyle w:val="Lienhypertexte"/>
            <w:noProof/>
          </w:rPr>
          <w:t>2.6.</w:t>
        </w:r>
        <w:r w:rsidR="0034205F">
          <w:rPr>
            <w:rFonts w:eastAsiaTheme="minorEastAsia"/>
            <w:noProof/>
            <w:lang w:eastAsia="fr-FR"/>
          </w:rPr>
          <w:tab/>
        </w:r>
        <w:r w:rsidR="0034205F" w:rsidRPr="004620AD">
          <w:rPr>
            <w:rStyle w:val="Lienhypertexte"/>
            <w:noProof/>
          </w:rPr>
          <w:t>L’intervention de l’AFD en appui aux violences gynécologiques et obstétricales</w:t>
        </w:r>
        <w:r w:rsidR="0034205F">
          <w:rPr>
            <w:noProof/>
            <w:webHidden/>
          </w:rPr>
          <w:tab/>
        </w:r>
        <w:r w:rsidR="0034205F">
          <w:rPr>
            <w:noProof/>
            <w:webHidden/>
          </w:rPr>
          <w:fldChar w:fldCharType="begin"/>
        </w:r>
        <w:r w:rsidR="0034205F">
          <w:rPr>
            <w:noProof/>
            <w:webHidden/>
          </w:rPr>
          <w:instrText xml:space="preserve"> PAGEREF _Toc60939077 \h </w:instrText>
        </w:r>
        <w:r w:rsidR="0034205F">
          <w:rPr>
            <w:noProof/>
            <w:webHidden/>
          </w:rPr>
        </w:r>
        <w:r w:rsidR="0034205F">
          <w:rPr>
            <w:noProof/>
            <w:webHidden/>
          </w:rPr>
          <w:fldChar w:fldCharType="separate"/>
        </w:r>
        <w:r w:rsidR="0034205F">
          <w:rPr>
            <w:noProof/>
            <w:webHidden/>
          </w:rPr>
          <w:t>7</w:t>
        </w:r>
        <w:r w:rsidR="0034205F">
          <w:rPr>
            <w:noProof/>
            <w:webHidden/>
          </w:rPr>
          <w:fldChar w:fldCharType="end"/>
        </w:r>
      </w:hyperlink>
    </w:p>
    <w:p w14:paraId="4C446CEE" w14:textId="0342B889" w:rsidR="0034205F" w:rsidRDefault="009C6E9A">
      <w:pPr>
        <w:pStyle w:val="TM2"/>
        <w:tabs>
          <w:tab w:val="left" w:pos="880"/>
          <w:tab w:val="right" w:leader="dot" w:pos="9062"/>
        </w:tabs>
        <w:rPr>
          <w:rFonts w:eastAsiaTheme="minorEastAsia"/>
          <w:noProof/>
          <w:lang w:eastAsia="fr-FR"/>
        </w:rPr>
      </w:pPr>
      <w:hyperlink w:anchor="_Toc60939078" w:history="1">
        <w:r w:rsidR="0034205F" w:rsidRPr="004620AD">
          <w:rPr>
            <w:rStyle w:val="Lienhypertexte"/>
            <w:noProof/>
          </w:rPr>
          <w:t>2.7.</w:t>
        </w:r>
        <w:r w:rsidR="0034205F">
          <w:rPr>
            <w:rFonts w:eastAsiaTheme="minorEastAsia"/>
            <w:noProof/>
            <w:lang w:eastAsia="fr-FR"/>
          </w:rPr>
          <w:tab/>
        </w:r>
        <w:r w:rsidR="0034205F" w:rsidRPr="004620AD">
          <w:rPr>
            <w:rStyle w:val="Lienhypertexte"/>
            <w:noProof/>
          </w:rPr>
          <w:t>Le rôle des ONG dans la lutte contre les VGO</w:t>
        </w:r>
        <w:r w:rsidR="0034205F">
          <w:rPr>
            <w:noProof/>
            <w:webHidden/>
          </w:rPr>
          <w:tab/>
        </w:r>
        <w:r w:rsidR="0034205F">
          <w:rPr>
            <w:noProof/>
            <w:webHidden/>
          </w:rPr>
          <w:fldChar w:fldCharType="begin"/>
        </w:r>
        <w:r w:rsidR="0034205F">
          <w:rPr>
            <w:noProof/>
            <w:webHidden/>
          </w:rPr>
          <w:instrText xml:space="preserve"> PAGEREF _Toc60939078 \h </w:instrText>
        </w:r>
        <w:r w:rsidR="0034205F">
          <w:rPr>
            <w:noProof/>
            <w:webHidden/>
          </w:rPr>
        </w:r>
        <w:r w:rsidR="0034205F">
          <w:rPr>
            <w:noProof/>
            <w:webHidden/>
          </w:rPr>
          <w:fldChar w:fldCharType="separate"/>
        </w:r>
        <w:r w:rsidR="0034205F">
          <w:rPr>
            <w:noProof/>
            <w:webHidden/>
          </w:rPr>
          <w:t>8</w:t>
        </w:r>
        <w:r w:rsidR="0034205F">
          <w:rPr>
            <w:noProof/>
            <w:webHidden/>
          </w:rPr>
          <w:fldChar w:fldCharType="end"/>
        </w:r>
      </w:hyperlink>
    </w:p>
    <w:p w14:paraId="7813C265" w14:textId="0746D87B" w:rsidR="0034205F" w:rsidRDefault="009C6E9A">
      <w:pPr>
        <w:pStyle w:val="TM1"/>
        <w:tabs>
          <w:tab w:val="left" w:pos="440"/>
          <w:tab w:val="right" w:leader="dot" w:pos="9062"/>
        </w:tabs>
        <w:rPr>
          <w:rFonts w:eastAsiaTheme="minorEastAsia"/>
          <w:b w:val="0"/>
          <w:noProof/>
          <w:lang w:eastAsia="fr-FR"/>
        </w:rPr>
      </w:pPr>
      <w:hyperlink w:anchor="_Toc60939079" w:history="1">
        <w:r w:rsidR="0034205F" w:rsidRPr="004620AD">
          <w:rPr>
            <w:rStyle w:val="Lienhypertexte"/>
            <w:noProof/>
          </w:rPr>
          <w:t>3.</w:t>
        </w:r>
        <w:r w:rsidR="0034205F">
          <w:rPr>
            <w:rFonts w:eastAsiaTheme="minorEastAsia"/>
            <w:b w:val="0"/>
            <w:noProof/>
            <w:lang w:eastAsia="fr-FR"/>
          </w:rPr>
          <w:tab/>
        </w:r>
        <w:r w:rsidR="0034205F" w:rsidRPr="004620AD">
          <w:rPr>
            <w:rStyle w:val="Lienhypertexte"/>
            <w:noProof/>
          </w:rPr>
          <w:t>Orientations De L’appel A Propositions</w:t>
        </w:r>
        <w:r w:rsidR="0034205F">
          <w:rPr>
            <w:noProof/>
            <w:webHidden/>
          </w:rPr>
          <w:tab/>
        </w:r>
        <w:r w:rsidR="0034205F">
          <w:rPr>
            <w:noProof/>
            <w:webHidden/>
          </w:rPr>
          <w:fldChar w:fldCharType="begin"/>
        </w:r>
        <w:r w:rsidR="0034205F">
          <w:rPr>
            <w:noProof/>
            <w:webHidden/>
          </w:rPr>
          <w:instrText xml:space="preserve"> PAGEREF _Toc60939079 \h </w:instrText>
        </w:r>
        <w:r w:rsidR="0034205F">
          <w:rPr>
            <w:noProof/>
            <w:webHidden/>
          </w:rPr>
        </w:r>
        <w:r w:rsidR="0034205F">
          <w:rPr>
            <w:noProof/>
            <w:webHidden/>
          </w:rPr>
          <w:fldChar w:fldCharType="separate"/>
        </w:r>
        <w:r w:rsidR="0034205F">
          <w:rPr>
            <w:noProof/>
            <w:webHidden/>
          </w:rPr>
          <w:t>8</w:t>
        </w:r>
        <w:r w:rsidR="0034205F">
          <w:rPr>
            <w:noProof/>
            <w:webHidden/>
          </w:rPr>
          <w:fldChar w:fldCharType="end"/>
        </w:r>
      </w:hyperlink>
    </w:p>
    <w:p w14:paraId="29159806" w14:textId="08139938" w:rsidR="0034205F" w:rsidRDefault="009C6E9A">
      <w:pPr>
        <w:pStyle w:val="TM2"/>
        <w:tabs>
          <w:tab w:val="left" w:pos="880"/>
          <w:tab w:val="right" w:leader="dot" w:pos="9062"/>
        </w:tabs>
        <w:rPr>
          <w:rFonts w:eastAsiaTheme="minorEastAsia"/>
          <w:noProof/>
          <w:lang w:eastAsia="fr-FR"/>
        </w:rPr>
      </w:pPr>
      <w:hyperlink w:anchor="_Toc60939080" w:history="1">
        <w:r w:rsidR="0034205F" w:rsidRPr="004620AD">
          <w:rPr>
            <w:rStyle w:val="Lienhypertexte"/>
            <w:noProof/>
          </w:rPr>
          <w:t>3.1.</w:t>
        </w:r>
        <w:r w:rsidR="0034205F">
          <w:rPr>
            <w:rFonts w:eastAsiaTheme="minorEastAsia"/>
            <w:noProof/>
            <w:lang w:eastAsia="fr-FR"/>
          </w:rPr>
          <w:tab/>
        </w:r>
        <w:r w:rsidR="0034205F" w:rsidRPr="004620AD">
          <w:rPr>
            <w:rStyle w:val="Lienhypertexte"/>
            <w:noProof/>
          </w:rPr>
          <w:t>Finalité</w:t>
        </w:r>
        <w:r w:rsidR="0034205F">
          <w:rPr>
            <w:noProof/>
            <w:webHidden/>
          </w:rPr>
          <w:tab/>
        </w:r>
        <w:r w:rsidR="0034205F">
          <w:rPr>
            <w:noProof/>
            <w:webHidden/>
          </w:rPr>
          <w:fldChar w:fldCharType="begin"/>
        </w:r>
        <w:r w:rsidR="0034205F">
          <w:rPr>
            <w:noProof/>
            <w:webHidden/>
          </w:rPr>
          <w:instrText xml:space="preserve"> PAGEREF _Toc60939080 \h </w:instrText>
        </w:r>
        <w:r w:rsidR="0034205F">
          <w:rPr>
            <w:noProof/>
            <w:webHidden/>
          </w:rPr>
        </w:r>
        <w:r w:rsidR="0034205F">
          <w:rPr>
            <w:noProof/>
            <w:webHidden/>
          </w:rPr>
          <w:fldChar w:fldCharType="separate"/>
        </w:r>
        <w:r w:rsidR="0034205F">
          <w:rPr>
            <w:noProof/>
            <w:webHidden/>
          </w:rPr>
          <w:t>8</w:t>
        </w:r>
        <w:r w:rsidR="0034205F">
          <w:rPr>
            <w:noProof/>
            <w:webHidden/>
          </w:rPr>
          <w:fldChar w:fldCharType="end"/>
        </w:r>
      </w:hyperlink>
    </w:p>
    <w:p w14:paraId="3C75F76B" w14:textId="2EBB10B8" w:rsidR="0034205F" w:rsidRDefault="009C6E9A">
      <w:pPr>
        <w:pStyle w:val="TM2"/>
        <w:tabs>
          <w:tab w:val="left" w:pos="880"/>
          <w:tab w:val="right" w:leader="dot" w:pos="9062"/>
        </w:tabs>
        <w:rPr>
          <w:rFonts w:eastAsiaTheme="minorEastAsia"/>
          <w:noProof/>
          <w:lang w:eastAsia="fr-FR"/>
        </w:rPr>
      </w:pPr>
      <w:hyperlink w:anchor="_Toc60939081" w:history="1">
        <w:r w:rsidR="0034205F" w:rsidRPr="004620AD">
          <w:rPr>
            <w:rStyle w:val="Lienhypertexte"/>
            <w:noProof/>
          </w:rPr>
          <w:t>3.2.</w:t>
        </w:r>
        <w:r w:rsidR="0034205F">
          <w:rPr>
            <w:rFonts w:eastAsiaTheme="minorEastAsia"/>
            <w:noProof/>
            <w:lang w:eastAsia="fr-FR"/>
          </w:rPr>
          <w:tab/>
        </w:r>
        <w:r w:rsidR="0034205F" w:rsidRPr="004620AD">
          <w:rPr>
            <w:rStyle w:val="Lienhypertexte"/>
            <w:noProof/>
          </w:rPr>
          <w:t>Lignes directrices générales</w:t>
        </w:r>
        <w:r w:rsidR="0034205F">
          <w:rPr>
            <w:noProof/>
            <w:webHidden/>
          </w:rPr>
          <w:tab/>
        </w:r>
        <w:r w:rsidR="0034205F">
          <w:rPr>
            <w:noProof/>
            <w:webHidden/>
          </w:rPr>
          <w:fldChar w:fldCharType="begin"/>
        </w:r>
        <w:r w:rsidR="0034205F">
          <w:rPr>
            <w:noProof/>
            <w:webHidden/>
          </w:rPr>
          <w:instrText xml:space="preserve"> PAGEREF _Toc60939081 \h </w:instrText>
        </w:r>
        <w:r w:rsidR="0034205F">
          <w:rPr>
            <w:noProof/>
            <w:webHidden/>
          </w:rPr>
        </w:r>
        <w:r w:rsidR="0034205F">
          <w:rPr>
            <w:noProof/>
            <w:webHidden/>
          </w:rPr>
          <w:fldChar w:fldCharType="separate"/>
        </w:r>
        <w:r w:rsidR="0034205F">
          <w:rPr>
            <w:noProof/>
            <w:webHidden/>
          </w:rPr>
          <w:t>8</w:t>
        </w:r>
        <w:r w:rsidR="0034205F">
          <w:rPr>
            <w:noProof/>
            <w:webHidden/>
          </w:rPr>
          <w:fldChar w:fldCharType="end"/>
        </w:r>
      </w:hyperlink>
    </w:p>
    <w:p w14:paraId="14A1AA87" w14:textId="1990CC01" w:rsidR="0034205F" w:rsidRDefault="009C6E9A">
      <w:pPr>
        <w:pStyle w:val="TM3"/>
        <w:tabs>
          <w:tab w:val="left" w:pos="1320"/>
          <w:tab w:val="right" w:leader="dot" w:pos="9062"/>
        </w:tabs>
        <w:rPr>
          <w:rFonts w:eastAsiaTheme="minorEastAsia"/>
          <w:noProof/>
          <w:lang w:eastAsia="fr-FR"/>
        </w:rPr>
      </w:pPr>
      <w:hyperlink w:anchor="_Toc60939082" w:history="1">
        <w:r w:rsidR="0034205F" w:rsidRPr="004620AD">
          <w:rPr>
            <w:rStyle w:val="Lienhypertexte"/>
            <w:noProof/>
          </w:rPr>
          <w:t>3.2.1.</w:t>
        </w:r>
        <w:r w:rsidR="0034205F">
          <w:rPr>
            <w:rFonts w:eastAsiaTheme="minorEastAsia"/>
            <w:noProof/>
            <w:lang w:eastAsia="fr-FR"/>
          </w:rPr>
          <w:tab/>
        </w:r>
        <w:r w:rsidR="0034205F" w:rsidRPr="004620AD">
          <w:rPr>
            <w:rStyle w:val="Lienhypertexte"/>
            <w:noProof/>
          </w:rPr>
          <w:t>Périmètre thématique</w:t>
        </w:r>
        <w:r w:rsidR="0034205F">
          <w:rPr>
            <w:noProof/>
            <w:webHidden/>
          </w:rPr>
          <w:tab/>
        </w:r>
        <w:r w:rsidR="0034205F">
          <w:rPr>
            <w:noProof/>
            <w:webHidden/>
          </w:rPr>
          <w:fldChar w:fldCharType="begin"/>
        </w:r>
        <w:r w:rsidR="0034205F">
          <w:rPr>
            <w:noProof/>
            <w:webHidden/>
          </w:rPr>
          <w:instrText xml:space="preserve"> PAGEREF _Toc60939082 \h </w:instrText>
        </w:r>
        <w:r w:rsidR="0034205F">
          <w:rPr>
            <w:noProof/>
            <w:webHidden/>
          </w:rPr>
        </w:r>
        <w:r w:rsidR="0034205F">
          <w:rPr>
            <w:noProof/>
            <w:webHidden/>
          </w:rPr>
          <w:fldChar w:fldCharType="separate"/>
        </w:r>
        <w:r w:rsidR="0034205F">
          <w:rPr>
            <w:noProof/>
            <w:webHidden/>
          </w:rPr>
          <w:t>8</w:t>
        </w:r>
        <w:r w:rsidR="0034205F">
          <w:rPr>
            <w:noProof/>
            <w:webHidden/>
          </w:rPr>
          <w:fldChar w:fldCharType="end"/>
        </w:r>
      </w:hyperlink>
    </w:p>
    <w:p w14:paraId="1917AAAD" w14:textId="54DAAFA4" w:rsidR="0034205F" w:rsidRDefault="009C6E9A">
      <w:pPr>
        <w:pStyle w:val="TM3"/>
        <w:tabs>
          <w:tab w:val="left" w:pos="1320"/>
          <w:tab w:val="right" w:leader="dot" w:pos="9062"/>
        </w:tabs>
        <w:rPr>
          <w:rFonts w:eastAsiaTheme="minorEastAsia"/>
          <w:noProof/>
          <w:lang w:eastAsia="fr-FR"/>
        </w:rPr>
      </w:pPr>
      <w:hyperlink w:anchor="_Toc60939083" w:history="1">
        <w:r w:rsidR="0034205F" w:rsidRPr="004620AD">
          <w:rPr>
            <w:rStyle w:val="Lienhypertexte"/>
            <w:noProof/>
          </w:rPr>
          <w:t>3.2.2.</w:t>
        </w:r>
        <w:r w:rsidR="0034205F">
          <w:rPr>
            <w:rFonts w:eastAsiaTheme="minorEastAsia"/>
            <w:noProof/>
            <w:lang w:eastAsia="fr-FR"/>
          </w:rPr>
          <w:tab/>
        </w:r>
        <w:r w:rsidR="0034205F" w:rsidRPr="004620AD">
          <w:rPr>
            <w:rStyle w:val="Lienhypertexte"/>
            <w:noProof/>
          </w:rPr>
          <w:t>Périmètre géographique</w:t>
        </w:r>
        <w:r w:rsidR="0034205F">
          <w:rPr>
            <w:noProof/>
            <w:webHidden/>
          </w:rPr>
          <w:tab/>
        </w:r>
        <w:r w:rsidR="0034205F">
          <w:rPr>
            <w:noProof/>
            <w:webHidden/>
          </w:rPr>
          <w:fldChar w:fldCharType="begin"/>
        </w:r>
        <w:r w:rsidR="0034205F">
          <w:rPr>
            <w:noProof/>
            <w:webHidden/>
          </w:rPr>
          <w:instrText xml:space="preserve"> PAGEREF _Toc60939083 \h </w:instrText>
        </w:r>
        <w:r w:rsidR="0034205F">
          <w:rPr>
            <w:noProof/>
            <w:webHidden/>
          </w:rPr>
        </w:r>
        <w:r w:rsidR="0034205F">
          <w:rPr>
            <w:noProof/>
            <w:webHidden/>
          </w:rPr>
          <w:fldChar w:fldCharType="separate"/>
        </w:r>
        <w:r w:rsidR="0034205F">
          <w:rPr>
            <w:noProof/>
            <w:webHidden/>
          </w:rPr>
          <w:t>11</w:t>
        </w:r>
        <w:r w:rsidR="0034205F">
          <w:rPr>
            <w:noProof/>
            <w:webHidden/>
          </w:rPr>
          <w:fldChar w:fldCharType="end"/>
        </w:r>
      </w:hyperlink>
    </w:p>
    <w:p w14:paraId="3BFB7A14" w14:textId="01B81980" w:rsidR="0034205F" w:rsidRDefault="009C6E9A">
      <w:pPr>
        <w:pStyle w:val="TM3"/>
        <w:tabs>
          <w:tab w:val="left" w:pos="1320"/>
          <w:tab w:val="right" w:leader="dot" w:pos="9062"/>
        </w:tabs>
        <w:rPr>
          <w:rFonts w:eastAsiaTheme="minorEastAsia"/>
          <w:noProof/>
          <w:lang w:eastAsia="fr-FR"/>
        </w:rPr>
      </w:pPr>
      <w:hyperlink w:anchor="_Toc60939084" w:history="1">
        <w:r w:rsidR="0034205F" w:rsidRPr="004620AD">
          <w:rPr>
            <w:rStyle w:val="Lienhypertexte"/>
            <w:smallCaps/>
            <w:noProof/>
          </w:rPr>
          <w:t>3.2.3</w:t>
        </w:r>
        <w:r w:rsidR="0034205F">
          <w:rPr>
            <w:rFonts w:eastAsiaTheme="minorEastAsia"/>
            <w:noProof/>
            <w:lang w:eastAsia="fr-FR"/>
          </w:rPr>
          <w:tab/>
        </w:r>
        <w:r w:rsidR="0034205F" w:rsidRPr="004620AD">
          <w:rPr>
            <w:rStyle w:val="Lienhypertexte"/>
            <w:noProof/>
          </w:rPr>
          <w:t>Durée des projets</w:t>
        </w:r>
        <w:r w:rsidR="0034205F">
          <w:rPr>
            <w:noProof/>
            <w:webHidden/>
          </w:rPr>
          <w:tab/>
        </w:r>
        <w:r w:rsidR="0034205F">
          <w:rPr>
            <w:noProof/>
            <w:webHidden/>
          </w:rPr>
          <w:fldChar w:fldCharType="begin"/>
        </w:r>
        <w:r w:rsidR="0034205F">
          <w:rPr>
            <w:noProof/>
            <w:webHidden/>
          </w:rPr>
          <w:instrText xml:space="preserve"> PAGEREF _Toc60939084 \h </w:instrText>
        </w:r>
        <w:r w:rsidR="0034205F">
          <w:rPr>
            <w:noProof/>
            <w:webHidden/>
          </w:rPr>
        </w:r>
        <w:r w:rsidR="0034205F">
          <w:rPr>
            <w:noProof/>
            <w:webHidden/>
          </w:rPr>
          <w:fldChar w:fldCharType="separate"/>
        </w:r>
        <w:r w:rsidR="0034205F">
          <w:rPr>
            <w:noProof/>
            <w:webHidden/>
          </w:rPr>
          <w:t>11</w:t>
        </w:r>
        <w:r w:rsidR="0034205F">
          <w:rPr>
            <w:noProof/>
            <w:webHidden/>
          </w:rPr>
          <w:fldChar w:fldCharType="end"/>
        </w:r>
      </w:hyperlink>
    </w:p>
    <w:p w14:paraId="398712D4" w14:textId="50A12CFF" w:rsidR="0034205F" w:rsidRDefault="009C6E9A">
      <w:pPr>
        <w:pStyle w:val="TM3"/>
        <w:tabs>
          <w:tab w:val="left" w:pos="1320"/>
          <w:tab w:val="right" w:leader="dot" w:pos="9062"/>
        </w:tabs>
        <w:rPr>
          <w:rFonts w:eastAsiaTheme="minorEastAsia"/>
          <w:noProof/>
          <w:lang w:eastAsia="fr-FR"/>
        </w:rPr>
      </w:pPr>
      <w:hyperlink w:anchor="_Toc60939085" w:history="1">
        <w:r w:rsidR="0034205F" w:rsidRPr="004620AD">
          <w:rPr>
            <w:rStyle w:val="Lienhypertexte"/>
            <w:noProof/>
          </w:rPr>
          <w:t>3.2.4</w:t>
        </w:r>
        <w:r w:rsidR="0034205F">
          <w:rPr>
            <w:rFonts w:eastAsiaTheme="minorEastAsia"/>
            <w:noProof/>
            <w:lang w:eastAsia="fr-FR"/>
          </w:rPr>
          <w:tab/>
        </w:r>
        <w:r w:rsidR="0034205F" w:rsidRPr="004620AD">
          <w:rPr>
            <w:rStyle w:val="Lienhypertexte"/>
            <w:noProof/>
          </w:rPr>
          <w:t>Bénéficiaires</w:t>
        </w:r>
        <w:r w:rsidR="0034205F">
          <w:rPr>
            <w:noProof/>
            <w:webHidden/>
          </w:rPr>
          <w:tab/>
        </w:r>
        <w:r w:rsidR="0034205F">
          <w:rPr>
            <w:noProof/>
            <w:webHidden/>
          </w:rPr>
          <w:fldChar w:fldCharType="begin"/>
        </w:r>
        <w:r w:rsidR="0034205F">
          <w:rPr>
            <w:noProof/>
            <w:webHidden/>
          </w:rPr>
          <w:instrText xml:space="preserve"> PAGEREF _Toc60939085 \h </w:instrText>
        </w:r>
        <w:r w:rsidR="0034205F">
          <w:rPr>
            <w:noProof/>
            <w:webHidden/>
          </w:rPr>
        </w:r>
        <w:r w:rsidR="0034205F">
          <w:rPr>
            <w:noProof/>
            <w:webHidden/>
          </w:rPr>
          <w:fldChar w:fldCharType="separate"/>
        </w:r>
        <w:r w:rsidR="0034205F">
          <w:rPr>
            <w:noProof/>
            <w:webHidden/>
          </w:rPr>
          <w:t>11</w:t>
        </w:r>
        <w:r w:rsidR="0034205F">
          <w:rPr>
            <w:noProof/>
            <w:webHidden/>
          </w:rPr>
          <w:fldChar w:fldCharType="end"/>
        </w:r>
      </w:hyperlink>
    </w:p>
    <w:p w14:paraId="0DEA2663" w14:textId="2ACE3A52" w:rsidR="0034205F" w:rsidRDefault="009C6E9A">
      <w:pPr>
        <w:pStyle w:val="TM3"/>
        <w:tabs>
          <w:tab w:val="left" w:pos="1320"/>
          <w:tab w:val="right" w:leader="dot" w:pos="9062"/>
        </w:tabs>
        <w:rPr>
          <w:rFonts w:eastAsiaTheme="minorEastAsia"/>
          <w:noProof/>
          <w:lang w:eastAsia="fr-FR"/>
        </w:rPr>
      </w:pPr>
      <w:hyperlink w:anchor="_Toc60939086" w:history="1">
        <w:r w:rsidR="0034205F" w:rsidRPr="004620AD">
          <w:rPr>
            <w:rStyle w:val="Lienhypertexte"/>
            <w:noProof/>
          </w:rPr>
          <w:t>3.2.5</w:t>
        </w:r>
        <w:r w:rsidR="0034205F">
          <w:rPr>
            <w:rFonts w:eastAsiaTheme="minorEastAsia"/>
            <w:noProof/>
            <w:lang w:eastAsia="fr-FR"/>
          </w:rPr>
          <w:tab/>
        </w:r>
        <w:r w:rsidR="0034205F" w:rsidRPr="004620AD">
          <w:rPr>
            <w:rStyle w:val="Lienhypertexte"/>
            <w:noProof/>
          </w:rPr>
          <w:t>Modes d’intervention transversaux</w:t>
        </w:r>
        <w:r w:rsidR="0034205F">
          <w:rPr>
            <w:noProof/>
            <w:webHidden/>
          </w:rPr>
          <w:tab/>
        </w:r>
        <w:r w:rsidR="0034205F">
          <w:rPr>
            <w:noProof/>
            <w:webHidden/>
          </w:rPr>
          <w:fldChar w:fldCharType="begin"/>
        </w:r>
        <w:r w:rsidR="0034205F">
          <w:rPr>
            <w:noProof/>
            <w:webHidden/>
          </w:rPr>
          <w:instrText xml:space="preserve"> PAGEREF _Toc60939086 \h </w:instrText>
        </w:r>
        <w:r w:rsidR="0034205F">
          <w:rPr>
            <w:noProof/>
            <w:webHidden/>
          </w:rPr>
        </w:r>
        <w:r w:rsidR="0034205F">
          <w:rPr>
            <w:noProof/>
            <w:webHidden/>
          </w:rPr>
          <w:fldChar w:fldCharType="separate"/>
        </w:r>
        <w:r w:rsidR="0034205F">
          <w:rPr>
            <w:noProof/>
            <w:webHidden/>
          </w:rPr>
          <w:t>11</w:t>
        </w:r>
        <w:r w:rsidR="0034205F">
          <w:rPr>
            <w:noProof/>
            <w:webHidden/>
          </w:rPr>
          <w:fldChar w:fldCharType="end"/>
        </w:r>
      </w:hyperlink>
    </w:p>
    <w:p w14:paraId="6ACF4F7F" w14:textId="5284D98F" w:rsidR="0034205F" w:rsidRDefault="009C6E9A">
      <w:pPr>
        <w:pStyle w:val="TM2"/>
        <w:tabs>
          <w:tab w:val="left" w:pos="880"/>
          <w:tab w:val="right" w:leader="dot" w:pos="9062"/>
        </w:tabs>
        <w:rPr>
          <w:rFonts w:eastAsiaTheme="minorEastAsia"/>
          <w:noProof/>
          <w:lang w:eastAsia="fr-FR"/>
        </w:rPr>
      </w:pPr>
      <w:hyperlink w:anchor="_Toc60939087" w:history="1">
        <w:r w:rsidR="0034205F" w:rsidRPr="004620AD">
          <w:rPr>
            <w:rStyle w:val="Lienhypertexte"/>
            <w:noProof/>
          </w:rPr>
          <w:t>3.3.</w:t>
        </w:r>
        <w:r w:rsidR="0034205F">
          <w:rPr>
            <w:rFonts w:eastAsiaTheme="minorEastAsia"/>
            <w:noProof/>
            <w:lang w:eastAsia="fr-FR"/>
          </w:rPr>
          <w:tab/>
        </w:r>
        <w:r w:rsidR="0034205F" w:rsidRPr="004620AD">
          <w:rPr>
            <w:rStyle w:val="Lienhypertexte"/>
            <w:noProof/>
          </w:rPr>
          <w:t>Lignes directrices détaillées</w:t>
        </w:r>
        <w:r w:rsidR="0034205F">
          <w:rPr>
            <w:noProof/>
            <w:webHidden/>
          </w:rPr>
          <w:tab/>
        </w:r>
        <w:r w:rsidR="0034205F">
          <w:rPr>
            <w:noProof/>
            <w:webHidden/>
          </w:rPr>
          <w:fldChar w:fldCharType="begin"/>
        </w:r>
        <w:r w:rsidR="0034205F">
          <w:rPr>
            <w:noProof/>
            <w:webHidden/>
          </w:rPr>
          <w:instrText xml:space="preserve"> PAGEREF _Toc60939087 \h </w:instrText>
        </w:r>
        <w:r w:rsidR="0034205F">
          <w:rPr>
            <w:noProof/>
            <w:webHidden/>
          </w:rPr>
        </w:r>
        <w:r w:rsidR="0034205F">
          <w:rPr>
            <w:noProof/>
            <w:webHidden/>
          </w:rPr>
          <w:fldChar w:fldCharType="separate"/>
        </w:r>
        <w:r w:rsidR="0034205F">
          <w:rPr>
            <w:noProof/>
            <w:webHidden/>
          </w:rPr>
          <w:t>12</w:t>
        </w:r>
        <w:r w:rsidR="0034205F">
          <w:rPr>
            <w:noProof/>
            <w:webHidden/>
          </w:rPr>
          <w:fldChar w:fldCharType="end"/>
        </w:r>
      </w:hyperlink>
    </w:p>
    <w:p w14:paraId="2E29A96F" w14:textId="70B1D948" w:rsidR="0034205F" w:rsidRDefault="009C6E9A">
      <w:pPr>
        <w:pStyle w:val="TM3"/>
        <w:tabs>
          <w:tab w:val="left" w:pos="1320"/>
          <w:tab w:val="right" w:leader="dot" w:pos="9062"/>
        </w:tabs>
        <w:rPr>
          <w:rFonts w:eastAsiaTheme="minorEastAsia"/>
          <w:noProof/>
          <w:lang w:eastAsia="fr-FR"/>
        </w:rPr>
      </w:pPr>
      <w:hyperlink w:anchor="_Toc60939088" w:history="1">
        <w:r w:rsidR="0034205F" w:rsidRPr="004620AD">
          <w:rPr>
            <w:rStyle w:val="Lienhypertexte"/>
            <w:bCs/>
            <w:smallCaps/>
            <w:noProof/>
          </w:rPr>
          <w:t>3.3.1</w:t>
        </w:r>
        <w:r w:rsidR="0034205F">
          <w:rPr>
            <w:rFonts w:eastAsiaTheme="minorEastAsia"/>
            <w:noProof/>
            <w:lang w:eastAsia="fr-FR"/>
          </w:rPr>
          <w:tab/>
        </w:r>
        <w:r w:rsidR="0034205F" w:rsidRPr="004620AD">
          <w:rPr>
            <w:rStyle w:val="Lienhypertexte"/>
            <w:noProof/>
          </w:rPr>
          <w:t>Cadre d’intervention</w:t>
        </w:r>
        <w:r w:rsidR="0034205F">
          <w:rPr>
            <w:noProof/>
            <w:webHidden/>
          </w:rPr>
          <w:tab/>
        </w:r>
        <w:r w:rsidR="0034205F">
          <w:rPr>
            <w:noProof/>
            <w:webHidden/>
          </w:rPr>
          <w:fldChar w:fldCharType="begin"/>
        </w:r>
        <w:r w:rsidR="0034205F">
          <w:rPr>
            <w:noProof/>
            <w:webHidden/>
          </w:rPr>
          <w:instrText xml:space="preserve"> PAGEREF _Toc60939088 \h </w:instrText>
        </w:r>
        <w:r w:rsidR="0034205F">
          <w:rPr>
            <w:noProof/>
            <w:webHidden/>
          </w:rPr>
        </w:r>
        <w:r w:rsidR="0034205F">
          <w:rPr>
            <w:noProof/>
            <w:webHidden/>
          </w:rPr>
          <w:fldChar w:fldCharType="separate"/>
        </w:r>
        <w:r w:rsidR="0034205F">
          <w:rPr>
            <w:noProof/>
            <w:webHidden/>
          </w:rPr>
          <w:t>12</w:t>
        </w:r>
        <w:r w:rsidR="0034205F">
          <w:rPr>
            <w:noProof/>
            <w:webHidden/>
          </w:rPr>
          <w:fldChar w:fldCharType="end"/>
        </w:r>
      </w:hyperlink>
    </w:p>
    <w:p w14:paraId="0F55C931" w14:textId="31380CFE" w:rsidR="0034205F" w:rsidRDefault="009C6E9A">
      <w:pPr>
        <w:pStyle w:val="TM3"/>
        <w:tabs>
          <w:tab w:val="left" w:pos="1320"/>
          <w:tab w:val="right" w:leader="dot" w:pos="9062"/>
        </w:tabs>
        <w:rPr>
          <w:rFonts w:eastAsiaTheme="minorEastAsia"/>
          <w:noProof/>
          <w:lang w:eastAsia="fr-FR"/>
        </w:rPr>
      </w:pPr>
      <w:hyperlink w:anchor="_Toc60939089" w:history="1">
        <w:r w:rsidR="0034205F" w:rsidRPr="004620AD">
          <w:rPr>
            <w:rStyle w:val="Lienhypertexte"/>
            <w:noProof/>
          </w:rPr>
          <w:t>3.3.2</w:t>
        </w:r>
        <w:r w:rsidR="0034205F">
          <w:rPr>
            <w:rFonts w:eastAsiaTheme="minorEastAsia"/>
            <w:noProof/>
            <w:lang w:eastAsia="fr-FR"/>
          </w:rPr>
          <w:tab/>
        </w:r>
        <w:r w:rsidR="0034205F" w:rsidRPr="004620AD">
          <w:rPr>
            <w:rStyle w:val="Lienhypertexte"/>
            <w:noProof/>
          </w:rPr>
          <w:t>Analyse des risques : les obstacles à la réduction des VGO</w:t>
        </w:r>
        <w:r w:rsidR="0034205F">
          <w:rPr>
            <w:noProof/>
            <w:webHidden/>
          </w:rPr>
          <w:tab/>
        </w:r>
        <w:r w:rsidR="0034205F">
          <w:rPr>
            <w:noProof/>
            <w:webHidden/>
          </w:rPr>
          <w:fldChar w:fldCharType="begin"/>
        </w:r>
        <w:r w:rsidR="0034205F">
          <w:rPr>
            <w:noProof/>
            <w:webHidden/>
          </w:rPr>
          <w:instrText xml:space="preserve"> PAGEREF _Toc60939089 \h </w:instrText>
        </w:r>
        <w:r w:rsidR="0034205F">
          <w:rPr>
            <w:noProof/>
            <w:webHidden/>
          </w:rPr>
        </w:r>
        <w:r w:rsidR="0034205F">
          <w:rPr>
            <w:noProof/>
            <w:webHidden/>
          </w:rPr>
          <w:fldChar w:fldCharType="separate"/>
        </w:r>
        <w:r w:rsidR="0034205F">
          <w:rPr>
            <w:noProof/>
            <w:webHidden/>
          </w:rPr>
          <w:t>12</w:t>
        </w:r>
        <w:r w:rsidR="0034205F">
          <w:rPr>
            <w:noProof/>
            <w:webHidden/>
          </w:rPr>
          <w:fldChar w:fldCharType="end"/>
        </w:r>
      </w:hyperlink>
    </w:p>
    <w:p w14:paraId="69140350" w14:textId="2056D5E9" w:rsidR="0034205F" w:rsidRDefault="009C6E9A">
      <w:pPr>
        <w:pStyle w:val="TM2"/>
        <w:tabs>
          <w:tab w:val="left" w:pos="880"/>
          <w:tab w:val="right" w:leader="dot" w:pos="9062"/>
        </w:tabs>
        <w:rPr>
          <w:rFonts w:eastAsiaTheme="minorEastAsia"/>
          <w:noProof/>
          <w:lang w:eastAsia="fr-FR"/>
        </w:rPr>
      </w:pPr>
      <w:hyperlink w:anchor="_Toc60939090" w:history="1">
        <w:r w:rsidR="0034205F" w:rsidRPr="004620AD">
          <w:rPr>
            <w:rStyle w:val="Lienhypertexte"/>
            <w:noProof/>
          </w:rPr>
          <w:t>3.4.</w:t>
        </w:r>
        <w:r w:rsidR="0034205F">
          <w:rPr>
            <w:rFonts w:eastAsiaTheme="minorEastAsia"/>
            <w:noProof/>
            <w:lang w:eastAsia="fr-FR"/>
          </w:rPr>
          <w:tab/>
        </w:r>
        <w:r w:rsidR="0034205F" w:rsidRPr="004620AD">
          <w:rPr>
            <w:rStyle w:val="Lienhypertexte"/>
            <w:noProof/>
          </w:rPr>
          <w:t>Evaluation et capitalisation</w:t>
        </w:r>
        <w:r w:rsidR="0034205F">
          <w:rPr>
            <w:noProof/>
            <w:webHidden/>
          </w:rPr>
          <w:tab/>
        </w:r>
        <w:r w:rsidR="0034205F">
          <w:rPr>
            <w:noProof/>
            <w:webHidden/>
          </w:rPr>
          <w:fldChar w:fldCharType="begin"/>
        </w:r>
        <w:r w:rsidR="0034205F">
          <w:rPr>
            <w:noProof/>
            <w:webHidden/>
          </w:rPr>
          <w:instrText xml:space="preserve"> PAGEREF _Toc60939090 \h </w:instrText>
        </w:r>
        <w:r w:rsidR="0034205F">
          <w:rPr>
            <w:noProof/>
            <w:webHidden/>
          </w:rPr>
        </w:r>
        <w:r w:rsidR="0034205F">
          <w:rPr>
            <w:noProof/>
            <w:webHidden/>
          </w:rPr>
          <w:fldChar w:fldCharType="separate"/>
        </w:r>
        <w:r w:rsidR="0034205F">
          <w:rPr>
            <w:noProof/>
            <w:webHidden/>
          </w:rPr>
          <w:t>13</w:t>
        </w:r>
        <w:r w:rsidR="0034205F">
          <w:rPr>
            <w:noProof/>
            <w:webHidden/>
          </w:rPr>
          <w:fldChar w:fldCharType="end"/>
        </w:r>
      </w:hyperlink>
    </w:p>
    <w:p w14:paraId="3FCFFBD7" w14:textId="683FA3D6" w:rsidR="0034205F" w:rsidRDefault="009C6E9A">
      <w:pPr>
        <w:pStyle w:val="TM3"/>
        <w:tabs>
          <w:tab w:val="left" w:pos="1320"/>
          <w:tab w:val="right" w:leader="dot" w:pos="9062"/>
        </w:tabs>
        <w:rPr>
          <w:rFonts w:eastAsiaTheme="minorEastAsia"/>
          <w:noProof/>
          <w:lang w:eastAsia="fr-FR"/>
        </w:rPr>
      </w:pPr>
      <w:hyperlink w:anchor="_Toc60939094" w:history="1">
        <w:r w:rsidR="0034205F" w:rsidRPr="004620AD">
          <w:rPr>
            <w:rStyle w:val="Lienhypertexte"/>
            <w:rFonts w:ascii="Calibri" w:hAnsi="Calibri"/>
            <w:noProof/>
          </w:rPr>
          <w:t>3.4.1</w:t>
        </w:r>
        <w:r w:rsidR="0034205F">
          <w:rPr>
            <w:rFonts w:eastAsiaTheme="minorEastAsia"/>
            <w:noProof/>
            <w:lang w:eastAsia="fr-FR"/>
          </w:rPr>
          <w:tab/>
        </w:r>
        <w:r w:rsidR="0034205F" w:rsidRPr="004620AD">
          <w:rPr>
            <w:rStyle w:val="Lienhypertexte"/>
            <w:noProof/>
          </w:rPr>
          <w:t>Suivi-évaluation</w:t>
        </w:r>
        <w:r w:rsidR="0034205F">
          <w:rPr>
            <w:noProof/>
            <w:webHidden/>
          </w:rPr>
          <w:tab/>
        </w:r>
        <w:r w:rsidR="0034205F">
          <w:rPr>
            <w:noProof/>
            <w:webHidden/>
          </w:rPr>
          <w:fldChar w:fldCharType="begin"/>
        </w:r>
        <w:r w:rsidR="0034205F">
          <w:rPr>
            <w:noProof/>
            <w:webHidden/>
          </w:rPr>
          <w:instrText xml:space="preserve"> PAGEREF _Toc60939094 \h </w:instrText>
        </w:r>
        <w:r w:rsidR="0034205F">
          <w:rPr>
            <w:noProof/>
            <w:webHidden/>
          </w:rPr>
        </w:r>
        <w:r w:rsidR="0034205F">
          <w:rPr>
            <w:noProof/>
            <w:webHidden/>
          </w:rPr>
          <w:fldChar w:fldCharType="separate"/>
        </w:r>
        <w:r w:rsidR="0034205F">
          <w:rPr>
            <w:noProof/>
            <w:webHidden/>
          </w:rPr>
          <w:t>13</w:t>
        </w:r>
        <w:r w:rsidR="0034205F">
          <w:rPr>
            <w:noProof/>
            <w:webHidden/>
          </w:rPr>
          <w:fldChar w:fldCharType="end"/>
        </w:r>
      </w:hyperlink>
    </w:p>
    <w:p w14:paraId="28FD3089" w14:textId="649314A3" w:rsidR="0034205F" w:rsidRDefault="009C6E9A">
      <w:pPr>
        <w:pStyle w:val="TM3"/>
        <w:tabs>
          <w:tab w:val="left" w:pos="1320"/>
          <w:tab w:val="right" w:leader="dot" w:pos="9062"/>
        </w:tabs>
        <w:rPr>
          <w:rFonts w:eastAsiaTheme="minorEastAsia"/>
          <w:noProof/>
          <w:lang w:eastAsia="fr-FR"/>
        </w:rPr>
      </w:pPr>
      <w:hyperlink w:anchor="_Toc60939095" w:history="1">
        <w:r w:rsidR="0034205F" w:rsidRPr="004620AD">
          <w:rPr>
            <w:rStyle w:val="Lienhypertexte"/>
            <w:noProof/>
          </w:rPr>
          <w:t>3.4.2</w:t>
        </w:r>
        <w:r w:rsidR="0034205F">
          <w:rPr>
            <w:rFonts w:eastAsiaTheme="minorEastAsia"/>
            <w:noProof/>
            <w:lang w:eastAsia="fr-FR"/>
          </w:rPr>
          <w:tab/>
        </w:r>
        <w:r w:rsidR="0034205F" w:rsidRPr="004620AD">
          <w:rPr>
            <w:rStyle w:val="Lienhypertexte"/>
            <w:noProof/>
          </w:rPr>
          <w:t>Capitalisation</w:t>
        </w:r>
        <w:r w:rsidR="0034205F">
          <w:rPr>
            <w:noProof/>
            <w:webHidden/>
          </w:rPr>
          <w:tab/>
        </w:r>
        <w:r w:rsidR="0034205F">
          <w:rPr>
            <w:noProof/>
            <w:webHidden/>
          </w:rPr>
          <w:fldChar w:fldCharType="begin"/>
        </w:r>
        <w:r w:rsidR="0034205F">
          <w:rPr>
            <w:noProof/>
            <w:webHidden/>
          </w:rPr>
          <w:instrText xml:space="preserve"> PAGEREF _Toc60939095 \h </w:instrText>
        </w:r>
        <w:r w:rsidR="0034205F">
          <w:rPr>
            <w:noProof/>
            <w:webHidden/>
          </w:rPr>
        </w:r>
        <w:r w:rsidR="0034205F">
          <w:rPr>
            <w:noProof/>
            <w:webHidden/>
          </w:rPr>
          <w:fldChar w:fldCharType="separate"/>
        </w:r>
        <w:r w:rsidR="0034205F">
          <w:rPr>
            <w:noProof/>
            <w:webHidden/>
          </w:rPr>
          <w:t>13</w:t>
        </w:r>
        <w:r w:rsidR="0034205F">
          <w:rPr>
            <w:noProof/>
            <w:webHidden/>
          </w:rPr>
          <w:fldChar w:fldCharType="end"/>
        </w:r>
      </w:hyperlink>
    </w:p>
    <w:p w14:paraId="143BD1E9" w14:textId="60F84450" w:rsidR="0034205F" w:rsidRDefault="009C6E9A">
      <w:pPr>
        <w:pStyle w:val="TM1"/>
        <w:tabs>
          <w:tab w:val="left" w:pos="440"/>
          <w:tab w:val="right" w:leader="dot" w:pos="9062"/>
        </w:tabs>
        <w:rPr>
          <w:rFonts w:eastAsiaTheme="minorEastAsia"/>
          <w:b w:val="0"/>
          <w:noProof/>
          <w:lang w:eastAsia="fr-FR"/>
        </w:rPr>
      </w:pPr>
      <w:hyperlink w:anchor="_Toc60939096" w:history="1">
        <w:r w:rsidR="0034205F" w:rsidRPr="004620AD">
          <w:rPr>
            <w:rStyle w:val="Lienhypertexte"/>
            <w:noProof/>
          </w:rPr>
          <w:t>4.</w:t>
        </w:r>
        <w:r w:rsidR="0034205F">
          <w:rPr>
            <w:rFonts w:eastAsiaTheme="minorEastAsia"/>
            <w:b w:val="0"/>
            <w:noProof/>
            <w:lang w:eastAsia="fr-FR"/>
          </w:rPr>
          <w:tab/>
        </w:r>
        <w:r w:rsidR="0034205F" w:rsidRPr="004620AD">
          <w:rPr>
            <w:rStyle w:val="Lienhypertexte"/>
            <w:noProof/>
          </w:rPr>
          <w:t>Qualification et expérience des ONG</w:t>
        </w:r>
        <w:r w:rsidR="0034205F">
          <w:rPr>
            <w:noProof/>
            <w:webHidden/>
          </w:rPr>
          <w:tab/>
        </w:r>
        <w:r w:rsidR="0034205F">
          <w:rPr>
            <w:noProof/>
            <w:webHidden/>
          </w:rPr>
          <w:fldChar w:fldCharType="begin"/>
        </w:r>
        <w:r w:rsidR="0034205F">
          <w:rPr>
            <w:noProof/>
            <w:webHidden/>
          </w:rPr>
          <w:instrText xml:space="preserve"> PAGEREF _Toc60939096 \h </w:instrText>
        </w:r>
        <w:r w:rsidR="0034205F">
          <w:rPr>
            <w:noProof/>
            <w:webHidden/>
          </w:rPr>
        </w:r>
        <w:r w:rsidR="0034205F">
          <w:rPr>
            <w:noProof/>
            <w:webHidden/>
          </w:rPr>
          <w:fldChar w:fldCharType="separate"/>
        </w:r>
        <w:r w:rsidR="0034205F">
          <w:rPr>
            <w:noProof/>
            <w:webHidden/>
          </w:rPr>
          <w:t>14</w:t>
        </w:r>
        <w:r w:rsidR="0034205F">
          <w:rPr>
            <w:noProof/>
            <w:webHidden/>
          </w:rPr>
          <w:fldChar w:fldCharType="end"/>
        </w:r>
      </w:hyperlink>
    </w:p>
    <w:p w14:paraId="55F09ED3" w14:textId="06CE66B6" w:rsidR="0034205F" w:rsidRDefault="009C6E9A">
      <w:pPr>
        <w:pStyle w:val="TM1"/>
        <w:tabs>
          <w:tab w:val="left" w:pos="440"/>
          <w:tab w:val="right" w:leader="dot" w:pos="9062"/>
        </w:tabs>
        <w:rPr>
          <w:rFonts w:eastAsiaTheme="minorEastAsia"/>
          <w:b w:val="0"/>
          <w:noProof/>
          <w:lang w:eastAsia="fr-FR"/>
        </w:rPr>
      </w:pPr>
      <w:hyperlink w:anchor="_Toc60939097" w:history="1">
        <w:r w:rsidR="0034205F" w:rsidRPr="004620AD">
          <w:rPr>
            <w:rStyle w:val="Lienhypertexte"/>
            <w:noProof/>
          </w:rPr>
          <w:t>5.</w:t>
        </w:r>
        <w:r w:rsidR="0034205F">
          <w:rPr>
            <w:rFonts w:eastAsiaTheme="minorEastAsia"/>
            <w:b w:val="0"/>
            <w:noProof/>
            <w:lang w:eastAsia="fr-FR"/>
          </w:rPr>
          <w:tab/>
        </w:r>
        <w:r w:rsidR="0034205F" w:rsidRPr="004620AD">
          <w:rPr>
            <w:rStyle w:val="Lienhypertexte"/>
            <w:noProof/>
          </w:rPr>
          <w:t>Cadrage budgétaire</w:t>
        </w:r>
        <w:r w:rsidR="0034205F">
          <w:rPr>
            <w:noProof/>
            <w:webHidden/>
          </w:rPr>
          <w:tab/>
        </w:r>
        <w:r w:rsidR="0034205F">
          <w:rPr>
            <w:noProof/>
            <w:webHidden/>
          </w:rPr>
          <w:fldChar w:fldCharType="begin"/>
        </w:r>
        <w:r w:rsidR="0034205F">
          <w:rPr>
            <w:noProof/>
            <w:webHidden/>
          </w:rPr>
          <w:instrText xml:space="preserve"> PAGEREF _Toc60939097 \h </w:instrText>
        </w:r>
        <w:r w:rsidR="0034205F">
          <w:rPr>
            <w:noProof/>
            <w:webHidden/>
          </w:rPr>
        </w:r>
        <w:r w:rsidR="0034205F">
          <w:rPr>
            <w:noProof/>
            <w:webHidden/>
          </w:rPr>
          <w:fldChar w:fldCharType="separate"/>
        </w:r>
        <w:r w:rsidR="0034205F">
          <w:rPr>
            <w:noProof/>
            <w:webHidden/>
          </w:rPr>
          <w:t>14</w:t>
        </w:r>
        <w:r w:rsidR="0034205F">
          <w:rPr>
            <w:noProof/>
            <w:webHidden/>
          </w:rPr>
          <w:fldChar w:fldCharType="end"/>
        </w:r>
      </w:hyperlink>
    </w:p>
    <w:p w14:paraId="0B09F3ED" w14:textId="323FAE76" w:rsidR="0034205F" w:rsidRDefault="009C6E9A">
      <w:pPr>
        <w:pStyle w:val="TM1"/>
        <w:tabs>
          <w:tab w:val="left" w:pos="440"/>
          <w:tab w:val="right" w:leader="dot" w:pos="9062"/>
        </w:tabs>
        <w:rPr>
          <w:rFonts w:eastAsiaTheme="minorEastAsia"/>
          <w:b w:val="0"/>
          <w:noProof/>
          <w:lang w:eastAsia="fr-FR"/>
        </w:rPr>
      </w:pPr>
      <w:hyperlink w:anchor="_Toc60939098" w:history="1">
        <w:r w:rsidR="0034205F" w:rsidRPr="004620AD">
          <w:rPr>
            <w:rStyle w:val="Lienhypertexte"/>
            <w:noProof/>
          </w:rPr>
          <w:t>6.</w:t>
        </w:r>
        <w:r w:rsidR="0034205F">
          <w:rPr>
            <w:rFonts w:eastAsiaTheme="minorEastAsia"/>
            <w:b w:val="0"/>
            <w:noProof/>
            <w:lang w:eastAsia="fr-FR"/>
          </w:rPr>
          <w:tab/>
        </w:r>
        <w:r w:rsidR="0034205F" w:rsidRPr="004620AD">
          <w:rPr>
            <w:rStyle w:val="Lienhypertexte"/>
            <w:noProof/>
          </w:rPr>
          <w:t>Critères d’évaluation des propositions</w:t>
        </w:r>
        <w:r w:rsidR="0034205F">
          <w:rPr>
            <w:noProof/>
            <w:webHidden/>
          </w:rPr>
          <w:tab/>
        </w:r>
        <w:r w:rsidR="0034205F">
          <w:rPr>
            <w:noProof/>
            <w:webHidden/>
          </w:rPr>
          <w:fldChar w:fldCharType="begin"/>
        </w:r>
        <w:r w:rsidR="0034205F">
          <w:rPr>
            <w:noProof/>
            <w:webHidden/>
          </w:rPr>
          <w:instrText xml:space="preserve"> PAGEREF _Toc60939098 \h </w:instrText>
        </w:r>
        <w:r w:rsidR="0034205F">
          <w:rPr>
            <w:noProof/>
            <w:webHidden/>
          </w:rPr>
        </w:r>
        <w:r w:rsidR="0034205F">
          <w:rPr>
            <w:noProof/>
            <w:webHidden/>
          </w:rPr>
          <w:fldChar w:fldCharType="separate"/>
        </w:r>
        <w:r w:rsidR="0034205F">
          <w:rPr>
            <w:noProof/>
            <w:webHidden/>
          </w:rPr>
          <w:t>15</w:t>
        </w:r>
        <w:r w:rsidR="0034205F">
          <w:rPr>
            <w:noProof/>
            <w:webHidden/>
          </w:rPr>
          <w:fldChar w:fldCharType="end"/>
        </w:r>
      </w:hyperlink>
    </w:p>
    <w:p w14:paraId="17DF7476" w14:textId="206FD6B8" w:rsidR="0034205F" w:rsidRDefault="009C6E9A">
      <w:pPr>
        <w:pStyle w:val="TM1"/>
        <w:tabs>
          <w:tab w:val="left" w:pos="440"/>
          <w:tab w:val="right" w:leader="dot" w:pos="9062"/>
        </w:tabs>
        <w:rPr>
          <w:rFonts w:eastAsiaTheme="minorEastAsia"/>
          <w:b w:val="0"/>
          <w:noProof/>
          <w:lang w:eastAsia="fr-FR"/>
        </w:rPr>
      </w:pPr>
      <w:hyperlink w:anchor="_Toc60939099" w:history="1">
        <w:r w:rsidR="0034205F" w:rsidRPr="004620AD">
          <w:rPr>
            <w:rStyle w:val="Lienhypertexte"/>
            <w:noProof/>
          </w:rPr>
          <w:t>7.</w:t>
        </w:r>
        <w:r w:rsidR="0034205F">
          <w:rPr>
            <w:rFonts w:eastAsiaTheme="minorEastAsia"/>
            <w:b w:val="0"/>
            <w:noProof/>
            <w:lang w:eastAsia="fr-FR"/>
          </w:rPr>
          <w:tab/>
        </w:r>
        <w:r w:rsidR="0034205F" w:rsidRPr="004620AD">
          <w:rPr>
            <w:rStyle w:val="Lienhypertexte"/>
            <w:noProof/>
          </w:rPr>
          <w:t>Calendrier prévisionnel</w:t>
        </w:r>
        <w:r w:rsidR="0034205F">
          <w:rPr>
            <w:noProof/>
            <w:webHidden/>
          </w:rPr>
          <w:tab/>
        </w:r>
        <w:r w:rsidR="0034205F">
          <w:rPr>
            <w:noProof/>
            <w:webHidden/>
          </w:rPr>
          <w:fldChar w:fldCharType="begin"/>
        </w:r>
        <w:r w:rsidR="0034205F">
          <w:rPr>
            <w:noProof/>
            <w:webHidden/>
          </w:rPr>
          <w:instrText xml:space="preserve"> PAGEREF _Toc60939099 \h </w:instrText>
        </w:r>
        <w:r w:rsidR="0034205F">
          <w:rPr>
            <w:noProof/>
            <w:webHidden/>
          </w:rPr>
        </w:r>
        <w:r w:rsidR="0034205F">
          <w:rPr>
            <w:noProof/>
            <w:webHidden/>
          </w:rPr>
          <w:fldChar w:fldCharType="separate"/>
        </w:r>
        <w:r w:rsidR="0034205F">
          <w:rPr>
            <w:noProof/>
            <w:webHidden/>
          </w:rPr>
          <w:t>16</w:t>
        </w:r>
        <w:r w:rsidR="0034205F">
          <w:rPr>
            <w:noProof/>
            <w:webHidden/>
          </w:rPr>
          <w:fldChar w:fldCharType="end"/>
        </w:r>
      </w:hyperlink>
    </w:p>
    <w:p w14:paraId="72839088" w14:textId="6BB2320F" w:rsidR="0034205F" w:rsidRDefault="009C6E9A">
      <w:pPr>
        <w:pStyle w:val="TM1"/>
        <w:tabs>
          <w:tab w:val="left" w:pos="440"/>
          <w:tab w:val="right" w:leader="dot" w:pos="9062"/>
        </w:tabs>
        <w:rPr>
          <w:rFonts w:eastAsiaTheme="minorEastAsia"/>
          <w:b w:val="0"/>
          <w:noProof/>
          <w:lang w:eastAsia="fr-FR"/>
        </w:rPr>
      </w:pPr>
      <w:hyperlink w:anchor="_Toc60939100" w:history="1">
        <w:r w:rsidR="0034205F" w:rsidRPr="004620AD">
          <w:rPr>
            <w:rStyle w:val="Lienhypertexte"/>
            <w:noProof/>
          </w:rPr>
          <w:t>8.</w:t>
        </w:r>
        <w:r w:rsidR="0034205F">
          <w:rPr>
            <w:rFonts w:eastAsiaTheme="minorEastAsia"/>
            <w:b w:val="0"/>
            <w:noProof/>
            <w:lang w:eastAsia="fr-FR"/>
          </w:rPr>
          <w:tab/>
        </w:r>
        <w:r w:rsidR="0034205F" w:rsidRPr="004620AD">
          <w:rPr>
            <w:rStyle w:val="Lienhypertexte"/>
            <w:noProof/>
          </w:rPr>
          <w:t>Références</w:t>
        </w:r>
        <w:r w:rsidR="0034205F">
          <w:rPr>
            <w:noProof/>
            <w:webHidden/>
          </w:rPr>
          <w:tab/>
        </w:r>
        <w:r w:rsidR="0034205F">
          <w:rPr>
            <w:noProof/>
            <w:webHidden/>
          </w:rPr>
          <w:fldChar w:fldCharType="begin"/>
        </w:r>
        <w:r w:rsidR="0034205F">
          <w:rPr>
            <w:noProof/>
            <w:webHidden/>
          </w:rPr>
          <w:instrText xml:space="preserve"> PAGEREF _Toc60939100 \h </w:instrText>
        </w:r>
        <w:r w:rsidR="0034205F">
          <w:rPr>
            <w:noProof/>
            <w:webHidden/>
          </w:rPr>
        </w:r>
        <w:r w:rsidR="0034205F">
          <w:rPr>
            <w:noProof/>
            <w:webHidden/>
          </w:rPr>
          <w:fldChar w:fldCharType="separate"/>
        </w:r>
        <w:r w:rsidR="0034205F">
          <w:rPr>
            <w:noProof/>
            <w:webHidden/>
          </w:rPr>
          <w:t>17</w:t>
        </w:r>
        <w:r w:rsidR="0034205F">
          <w:rPr>
            <w:noProof/>
            <w:webHidden/>
          </w:rPr>
          <w:fldChar w:fldCharType="end"/>
        </w:r>
      </w:hyperlink>
    </w:p>
    <w:p w14:paraId="1DE6BD59" w14:textId="22BB299B" w:rsidR="002D361A" w:rsidRPr="00491397" w:rsidRDefault="00637C40" w:rsidP="001051DC">
      <w:pPr>
        <w:jc w:val="center"/>
        <w:outlineLvl w:val="1"/>
        <w:rPr>
          <w:b/>
          <w:sz w:val="28"/>
          <w:szCs w:val="28"/>
        </w:rPr>
      </w:pPr>
      <w:r>
        <w:rPr>
          <w:b/>
          <w:sz w:val="28"/>
          <w:szCs w:val="28"/>
        </w:rPr>
        <w:fldChar w:fldCharType="end"/>
      </w:r>
    </w:p>
    <w:p w14:paraId="298278C1" w14:textId="189BB8F1" w:rsidR="002D361A" w:rsidRDefault="002D361A">
      <w:pPr>
        <w:rPr>
          <w:b/>
          <w:u w:val="single"/>
        </w:rPr>
      </w:pPr>
    </w:p>
    <w:p w14:paraId="19C4A371" w14:textId="41500369" w:rsidR="002D361A" w:rsidRPr="00C62EEC" w:rsidRDefault="00C62EEC" w:rsidP="00C62EEC">
      <w:pPr>
        <w:pStyle w:val="Grandtitre"/>
      </w:pPr>
      <w:bookmarkStart w:id="1" w:name="_Toc59094189"/>
      <w:bookmarkStart w:id="2" w:name="_Toc59094246"/>
      <w:bookmarkStart w:id="3" w:name="_Toc60939070"/>
      <w:r w:rsidRPr="00566820">
        <w:lastRenderedPageBreak/>
        <w:t>Rappel Sur L’instrument FISONG</w:t>
      </w:r>
      <w:bookmarkEnd w:id="1"/>
      <w:bookmarkEnd w:id="2"/>
      <w:bookmarkEnd w:id="3"/>
    </w:p>
    <w:p w14:paraId="27BEF0E8" w14:textId="77777777" w:rsidR="002D361A" w:rsidRPr="00D13019" w:rsidRDefault="002D361A" w:rsidP="00E62E97">
      <w:pPr>
        <w:spacing w:line="276" w:lineRule="auto"/>
        <w:jc w:val="both"/>
      </w:pPr>
      <w:r w:rsidRPr="00D13019">
        <w:t xml:space="preserve">Créée en 2007, la FISONG permet le développement de partenariats entre des ONG françaises ou internationales et l’AFD, autour du cofinancement de projets innovants sur les différents secteurs qui touchent au développement. </w:t>
      </w:r>
      <w:r w:rsidRPr="00D13019">
        <w:rPr>
          <w:b/>
        </w:rPr>
        <w:t>Le critère d’innovation constitue la spécificité du financement FISONG</w:t>
      </w:r>
      <w:r w:rsidRPr="00D13019">
        <w:t xml:space="preserve"> et à ce titre la FISONG se distingue des autres lignes de financements proposés par l’AFD aux ONG pour le cofinancement de leurs initiatives ou la prestation de services. Ainsi, ce mode de financement restreint le panel des projets susceptibles d’être financés à ceux qui proposent l’exploration de nouvelles manières de faire.</w:t>
      </w:r>
    </w:p>
    <w:p w14:paraId="632CB95D" w14:textId="77777777" w:rsidR="002D361A" w:rsidRPr="00D13019" w:rsidRDefault="002D361A" w:rsidP="00E62E97">
      <w:pPr>
        <w:spacing w:line="276" w:lineRule="auto"/>
        <w:jc w:val="both"/>
      </w:pPr>
      <w:r w:rsidRPr="00D13019">
        <w:t>Par « innovation »,</w:t>
      </w:r>
      <w:r w:rsidRPr="00D13019">
        <w:rPr>
          <w:sz w:val="20"/>
          <w:szCs w:val="20"/>
        </w:rPr>
        <w:t xml:space="preserve"> </w:t>
      </w:r>
      <w:r w:rsidRPr="00D13019">
        <w:t>l’AFD entend la recherche de nouveaux modes d’intervention apportant une réelle plus-value dans les procédés techniques, méthodologiques, organisationnels et/ou de partenariats mis en œuvre, susceptibles de créer de nouvelles dynamiques et de jouer un rôle moteur dans un secteur précis du développement.</w:t>
      </w:r>
    </w:p>
    <w:p w14:paraId="45D010C2" w14:textId="77777777" w:rsidR="002D361A" w:rsidRPr="00D13019" w:rsidRDefault="002D361A" w:rsidP="00E62E97">
      <w:pPr>
        <w:spacing w:line="276" w:lineRule="auto"/>
        <w:jc w:val="both"/>
      </w:pPr>
      <w:r w:rsidRPr="00D13019">
        <w:t xml:space="preserve">Ces processus novateurs peuvent correspondre </w:t>
      </w:r>
      <w:r w:rsidRPr="00D13019">
        <w:rPr>
          <w:b/>
        </w:rPr>
        <w:t>soit à l’expérimentation d’un changement d’échelle, à partir d’innovations localisées préexistantes, soit au repérage, à la conception et/ou la mise au point d’innovations à petite échelle, susceptibles d’alimenter une réflexion sur des politiques sectorielles, voire de les influencer</w:t>
      </w:r>
      <w:r w:rsidRPr="00D13019">
        <w:t>. Peuvent être considérées comme :</w:t>
      </w:r>
    </w:p>
    <w:p w14:paraId="5A1FB280" w14:textId="77777777" w:rsidR="002D361A" w:rsidRPr="00D13019" w:rsidRDefault="002D361A" w:rsidP="00BF6A65">
      <w:pPr>
        <w:pStyle w:val="Paragraphedeliste"/>
        <w:numPr>
          <w:ilvl w:val="0"/>
          <w:numId w:val="2"/>
        </w:numPr>
        <w:spacing w:before="120" w:after="120" w:line="276" w:lineRule="auto"/>
        <w:ind w:left="714" w:hanging="357"/>
        <w:jc w:val="both"/>
      </w:pPr>
      <w:r w:rsidRPr="00D13019">
        <w:rPr>
          <w:b/>
        </w:rPr>
        <w:t xml:space="preserve">Innovations conceptuelles : </w:t>
      </w:r>
      <w:r w:rsidRPr="00D13019">
        <w:t>la création de techniques, de formes d’organisations, de dispositifs d’action, etc.</w:t>
      </w:r>
    </w:p>
    <w:p w14:paraId="0D0FB20B" w14:textId="77777777" w:rsidR="002D361A" w:rsidRPr="00D13019" w:rsidRDefault="002D361A" w:rsidP="00BF6A65">
      <w:pPr>
        <w:pStyle w:val="Paragraphedeliste"/>
        <w:numPr>
          <w:ilvl w:val="0"/>
          <w:numId w:val="2"/>
        </w:numPr>
        <w:spacing w:before="120" w:after="120" w:line="276" w:lineRule="auto"/>
        <w:ind w:left="714" w:hanging="357"/>
        <w:jc w:val="both"/>
      </w:pPr>
      <w:r w:rsidRPr="00D13019">
        <w:rPr>
          <w:b/>
        </w:rPr>
        <w:t xml:space="preserve">Innovations contextuelles : </w:t>
      </w:r>
      <w:r w:rsidRPr="00D13019">
        <w:t>la greffe d’éléments déjà connus dans un nouveau contexte. Dans ce cas, le contexte de mise en œuvre devra être à la fois radicalement nouveau et présent dans d’autres situations, pour que l’opération novatrice soit porteuse d’enseignements utiles pour d’autres terrains.</w:t>
      </w:r>
    </w:p>
    <w:p w14:paraId="2E2E05CC" w14:textId="77777777" w:rsidR="002D361A" w:rsidRPr="00D13019" w:rsidRDefault="002D361A" w:rsidP="00E62E97">
      <w:pPr>
        <w:pStyle w:val="Paragraphedeliste"/>
        <w:spacing w:before="120" w:after="120" w:line="276" w:lineRule="auto"/>
        <w:ind w:left="714"/>
        <w:jc w:val="both"/>
      </w:pPr>
    </w:p>
    <w:p w14:paraId="36A1269F" w14:textId="77777777" w:rsidR="002D361A" w:rsidRPr="00D13019" w:rsidRDefault="002D361A" w:rsidP="00E62E97">
      <w:pPr>
        <w:spacing w:line="276" w:lineRule="auto"/>
        <w:jc w:val="both"/>
      </w:pPr>
      <w:r w:rsidRPr="00D13019">
        <w:t>La FISONG a pour objet de :</w:t>
      </w:r>
    </w:p>
    <w:p w14:paraId="5F536E7D" w14:textId="77777777" w:rsidR="002D361A" w:rsidRPr="00D13019" w:rsidRDefault="002D361A" w:rsidP="00BF6A65">
      <w:pPr>
        <w:numPr>
          <w:ilvl w:val="0"/>
          <w:numId w:val="1"/>
        </w:numPr>
        <w:spacing w:before="60" w:after="0" w:line="276" w:lineRule="auto"/>
        <w:ind w:left="714" w:hanging="357"/>
        <w:jc w:val="both"/>
      </w:pPr>
      <w:r w:rsidRPr="00D13019">
        <w:t>valoriser et encourager les capacités d’innovation et de capitalisation des ONG ;</w:t>
      </w:r>
    </w:p>
    <w:p w14:paraId="1EC28B40" w14:textId="77777777" w:rsidR="002D361A" w:rsidRPr="00D13019" w:rsidRDefault="002D361A" w:rsidP="00BF6A65">
      <w:pPr>
        <w:numPr>
          <w:ilvl w:val="0"/>
          <w:numId w:val="1"/>
        </w:numPr>
        <w:spacing w:before="60" w:after="0" w:line="276" w:lineRule="auto"/>
        <w:ind w:left="714" w:hanging="357"/>
        <w:jc w:val="both"/>
      </w:pPr>
      <w:r w:rsidRPr="00D13019">
        <w:t>créer des synergies entre l’AFD et les ONG pour améliorer la coordination des politiques publiques avec les initiatives de la coopération non gouvernementale ;</w:t>
      </w:r>
    </w:p>
    <w:p w14:paraId="2864E7EC" w14:textId="77777777" w:rsidR="002D361A" w:rsidRPr="00D13019" w:rsidRDefault="002D361A" w:rsidP="00BF6A65">
      <w:pPr>
        <w:numPr>
          <w:ilvl w:val="0"/>
          <w:numId w:val="1"/>
        </w:numPr>
        <w:spacing w:before="60" w:after="0" w:line="276" w:lineRule="auto"/>
        <w:ind w:left="714" w:hanging="357"/>
        <w:jc w:val="both"/>
      </w:pPr>
      <w:r w:rsidRPr="00D13019">
        <w:t>renforcer le partenariat avec les ONG comme vecteurs d’aide adaptés à des situations d’absence ou de défaillance des maîtrises d’ouvrages publiques.</w:t>
      </w:r>
    </w:p>
    <w:p w14:paraId="42222220" w14:textId="77777777" w:rsidR="002D361A" w:rsidRPr="00D13019" w:rsidRDefault="002D361A" w:rsidP="00E62E97">
      <w:pPr>
        <w:spacing w:line="276" w:lineRule="auto"/>
        <w:jc w:val="both"/>
      </w:pPr>
    </w:p>
    <w:p w14:paraId="3283F3DA" w14:textId="77777777" w:rsidR="002D361A" w:rsidRPr="00D13019" w:rsidRDefault="002D361A" w:rsidP="00E62E97">
      <w:pPr>
        <w:tabs>
          <w:tab w:val="num" w:pos="180"/>
        </w:tabs>
        <w:spacing w:line="276" w:lineRule="auto"/>
        <w:jc w:val="both"/>
      </w:pPr>
      <w:r w:rsidRPr="00D13019">
        <w:t>Depuis 2008, 32 appels à propositions ont été lancés, 85 projets retenus pour un financement total d’environ 55,8 millions d’euros (650 000 euros en moyenne par projet).</w:t>
      </w:r>
    </w:p>
    <w:p w14:paraId="0B2EBDF4" w14:textId="77777777" w:rsidR="002D361A" w:rsidRPr="00D13019" w:rsidRDefault="002D361A" w:rsidP="00E62E97">
      <w:pPr>
        <w:tabs>
          <w:tab w:val="num" w:pos="180"/>
        </w:tabs>
        <w:spacing w:line="276" w:lineRule="auto"/>
        <w:jc w:val="both"/>
      </w:pPr>
    </w:p>
    <w:p w14:paraId="1B39DF42" w14:textId="77777777" w:rsidR="002D361A" w:rsidRPr="00D13019" w:rsidRDefault="002D361A" w:rsidP="00E62E97">
      <w:pPr>
        <w:spacing w:line="276" w:lineRule="auto"/>
        <w:jc w:val="both"/>
      </w:pPr>
      <w:r w:rsidRPr="00D13019">
        <w:t xml:space="preserve">Pour en savoir plus sur l’outil FISONG : </w:t>
      </w:r>
      <w:hyperlink r:id="rId10" w:history="1">
        <w:r w:rsidRPr="00D13019">
          <w:rPr>
            <w:rStyle w:val="Lienhypertexte"/>
          </w:rPr>
          <w:t>https://www.afd.fr/fr/les-financements-des-projets-des-ong</w:t>
        </w:r>
      </w:hyperlink>
      <w:r w:rsidRPr="00D13019">
        <w:t xml:space="preserve"> </w:t>
      </w:r>
    </w:p>
    <w:p w14:paraId="1636A180" w14:textId="77777777" w:rsidR="002D361A" w:rsidRDefault="002D361A" w:rsidP="00E62E97">
      <w:pPr>
        <w:spacing w:line="276" w:lineRule="auto"/>
        <w:jc w:val="both"/>
        <w:rPr>
          <w:b/>
          <w:u w:val="single"/>
        </w:rPr>
      </w:pPr>
    </w:p>
    <w:p w14:paraId="48DE59A8" w14:textId="77777777" w:rsidR="002D361A" w:rsidRDefault="002D361A" w:rsidP="00E62E97">
      <w:pPr>
        <w:spacing w:line="276" w:lineRule="auto"/>
        <w:jc w:val="both"/>
        <w:rPr>
          <w:b/>
          <w:u w:val="single"/>
        </w:rPr>
      </w:pPr>
    </w:p>
    <w:p w14:paraId="152257AD" w14:textId="77777777" w:rsidR="002D361A" w:rsidRDefault="002D361A" w:rsidP="00E62E97">
      <w:pPr>
        <w:spacing w:line="276" w:lineRule="auto"/>
        <w:jc w:val="both"/>
        <w:rPr>
          <w:b/>
          <w:u w:val="single"/>
        </w:rPr>
      </w:pPr>
    </w:p>
    <w:p w14:paraId="129C2817" w14:textId="0BCDE75A" w:rsidR="00CB0FE9" w:rsidRPr="00637C40" w:rsidRDefault="00C62EEC" w:rsidP="00637C40">
      <w:pPr>
        <w:pStyle w:val="Grandtitre"/>
      </w:pPr>
      <w:bookmarkStart w:id="4" w:name="_Toc59094190"/>
      <w:bookmarkStart w:id="5" w:name="_Toc59094247"/>
      <w:bookmarkStart w:id="6" w:name="_Toc60939071"/>
      <w:r w:rsidRPr="002D361A">
        <w:lastRenderedPageBreak/>
        <w:t>Cadrage Général De L’</w:t>
      </w:r>
      <w:r>
        <w:t xml:space="preserve">appel À Propositions Fisong 2021 : « Lutter Contre Les Violences Gynécologiques Et Obstétricales </w:t>
      </w:r>
      <w:r w:rsidRPr="002D361A">
        <w:t>»</w:t>
      </w:r>
      <w:bookmarkEnd w:id="4"/>
      <w:bookmarkEnd w:id="5"/>
      <w:bookmarkEnd w:id="6"/>
    </w:p>
    <w:p w14:paraId="0BBAB39B" w14:textId="77777777" w:rsidR="000F71D9" w:rsidRPr="002A0AF8" w:rsidRDefault="000F71D9" w:rsidP="004262E8">
      <w:pPr>
        <w:pStyle w:val="Soustitre1"/>
      </w:pPr>
      <w:bookmarkStart w:id="7" w:name="_Toc60939072"/>
      <w:r w:rsidRPr="002A0AF8">
        <w:t>L’émergence d</w:t>
      </w:r>
      <w:r w:rsidR="009131A4" w:rsidRPr="002A0AF8">
        <w:t>u</w:t>
      </w:r>
      <w:r w:rsidRPr="002A0AF8">
        <w:t xml:space="preserve"> con</w:t>
      </w:r>
      <w:r w:rsidR="009131A4" w:rsidRPr="002A0AF8">
        <w:t>cept de violences gynécologiques et obstétricales</w:t>
      </w:r>
      <w:bookmarkEnd w:id="7"/>
    </w:p>
    <w:p w14:paraId="1488EC18" w14:textId="71D8602E" w:rsidR="002D361A" w:rsidRDefault="00372361" w:rsidP="00E62E97">
      <w:pPr>
        <w:spacing w:line="276" w:lineRule="auto"/>
        <w:jc w:val="both"/>
      </w:pPr>
      <w:r>
        <w:t>Depuis les années 2000 et p</w:t>
      </w:r>
      <w:r w:rsidR="001E2BBA">
        <w:t xml:space="preserve">artout dans le monde, </w:t>
      </w:r>
      <w:r w:rsidR="00F00A39">
        <w:t xml:space="preserve">une </w:t>
      </w:r>
      <w:r w:rsidR="001E2BBA">
        <w:t xml:space="preserve">intensification de la </w:t>
      </w:r>
      <w:r w:rsidR="00F00A39">
        <w:t>médicalisation de l’expérience de l’accouchement</w:t>
      </w:r>
      <w:r w:rsidR="007623A0">
        <w:t xml:space="preserve"> est constatée</w:t>
      </w:r>
      <w:r w:rsidR="00F00A39">
        <w:t xml:space="preserve">. </w:t>
      </w:r>
      <w:r w:rsidR="0006587E">
        <w:t xml:space="preserve">Entre 1990 et 2014, le taux </w:t>
      </w:r>
      <w:r w:rsidR="00A55626">
        <w:t xml:space="preserve">mondial </w:t>
      </w:r>
      <w:r w:rsidR="0006587E">
        <w:t xml:space="preserve">d’accouchements </w:t>
      </w:r>
      <w:r w:rsidR="00D60D14">
        <w:t>assist</w:t>
      </w:r>
      <w:r w:rsidR="00BB5D1C">
        <w:t>és par un personnel soignant qualifié</w:t>
      </w:r>
      <w:r w:rsidR="0006587E">
        <w:t xml:space="preserve"> est passé de </w:t>
      </w:r>
      <w:r w:rsidR="003862B1">
        <w:t>59% à 71%</w:t>
      </w:r>
      <w:r w:rsidR="00766227" w:rsidRPr="00E11A63">
        <w:rPr>
          <w:rStyle w:val="Appelnotedebasdep"/>
        </w:rPr>
        <w:footnoteReference w:id="1"/>
      </w:r>
      <w:r w:rsidR="00D73701">
        <w:t xml:space="preserve">. </w:t>
      </w:r>
      <w:r w:rsidR="00265CA0">
        <w:t xml:space="preserve">Cette </w:t>
      </w:r>
      <w:r w:rsidR="002D361A">
        <w:t xml:space="preserve">médicalisation de la grossesse et </w:t>
      </w:r>
      <w:r w:rsidR="008A156C">
        <w:t xml:space="preserve">de </w:t>
      </w:r>
      <w:r w:rsidR="002D361A">
        <w:t xml:space="preserve">l’accouchement a </w:t>
      </w:r>
      <w:r w:rsidR="00265CA0">
        <w:t xml:space="preserve">indéniablement contribué à la </w:t>
      </w:r>
      <w:r w:rsidR="002D361A">
        <w:t xml:space="preserve">baisse significative des taux de mortalité maternelle et </w:t>
      </w:r>
      <w:r w:rsidR="00A55626">
        <w:t xml:space="preserve">néonatale </w:t>
      </w:r>
      <w:r w:rsidR="002D361A">
        <w:t>dans le monde</w:t>
      </w:r>
      <w:r w:rsidR="002D0A5A">
        <w:t>. E</w:t>
      </w:r>
      <w:r w:rsidR="002D361A">
        <w:t>ntre 1990 et 2015, la mortalité maternelle a diminué de 4</w:t>
      </w:r>
      <w:r w:rsidR="00B076A0">
        <w:t>5</w:t>
      </w:r>
      <w:r w:rsidR="002D361A">
        <w:t>%</w:t>
      </w:r>
      <w:r w:rsidR="00A02F41">
        <w:t xml:space="preserve"> et le taux mondial de mortalité néonatale est passé de 33 </w:t>
      </w:r>
      <w:r w:rsidR="00A54D00">
        <w:t xml:space="preserve">décès </w:t>
      </w:r>
      <w:r w:rsidR="00A02F41">
        <w:t>à 19</w:t>
      </w:r>
      <w:r w:rsidR="00A54D00">
        <w:t xml:space="preserve"> décès pour 1000 naissances vivantes</w:t>
      </w:r>
      <w:r w:rsidR="00EB639E" w:rsidRPr="00E11A63">
        <w:rPr>
          <w:rStyle w:val="Appelnotedebasdep"/>
        </w:rPr>
        <w:footnoteReference w:id="2"/>
      </w:r>
      <w:r w:rsidR="002D361A">
        <w:t xml:space="preserve">. </w:t>
      </w:r>
      <w:r w:rsidR="00A356C6">
        <w:t>L’amélioration de ces indicateurs, du fait notamment d’un meilleur accès aux soins et d’une meilleure qualité des soins, a participé à l’invisibilisation des violences faites aux femmes. C</w:t>
      </w:r>
      <w:r w:rsidR="002D361A" w:rsidRPr="00CB0FE9">
        <w:t>ette nouvelle prise en charge médic</w:t>
      </w:r>
      <w:r w:rsidR="00CB0FE9" w:rsidRPr="00CB0FE9">
        <w:t>ale des corps s’est</w:t>
      </w:r>
      <w:r w:rsidR="00A356C6">
        <w:t xml:space="preserve"> en effet</w:t>
      </w:r>
      <w:r w:rsidR="00CB0FE9">
        <w:t xml:space="preserve"> parfois</w:t>
      </w:r>
      <w:r w:rsidR="00CB0FE9" w:rsidRPr="00CB0FE9">
        <w:t xml:space="preserve"> accompagnée de</w:t>
      </w:r>
      <w:r w:rsidR="002D361A" w:rsidRPr="00CB0FE9">
        <w:t xml:space="preserve"> pratiques violentes et irrespectueuses à l’égard des femmes </w:t>
      </w:r>
      <w:r w:rsidR="002D361A" w:rsidRPr="00A356C6">
        <w:t xml:space="preserve">pendant l’accouchement ainsi qu’à des pratiques </w:t>
      </w:r>
      <w:r w:rsidR="00666E6C" w:rsidRPr="00A356C6">
        <w:t xml:space="preserve">dites « abusives », c’est-à-dire </w:t>
      </w:r>
      <w:r w:rsidR="002D361A" w:rsidRPr="00A356C6">
        <w:t>non-</w:t>
      </w:r>
      <w:r w:rsidR="00AB5CAA" w:rsidRPr="00A356C6">
        <w:t xml:space="preserve">médicalement </w:t>
      </w:r>
      <w:r w:rsidR="002D361A" w:rsidRPr="00A356C6">
        <w:t>justifiées.</w:t>
      </w:r>
      <w:r w:rsidR="00FF4713" w:rsidRPr="00A356C6">
        <w:t xml:space="preserve"> </w:t>
      </w:r>
    </w:p>
    <w:p w14:paraId="63D623B1" w14:textId="41C2065B" w:rsidR="006971F5" w:rsidRDefault="006971F5" w:rsidP="005A048B">
      <w:pPr>
        <w:jc w:val="both"/>
      </w:pPr>
      <w:r>
        <w:t>Les mouvements féministes militants ne sont pas restés passifs face à cette appropriation du corps des femmes par l’institution médicale</w:t>
      </w:r>
      <w:r w:rsidR="00AB5CAA">
        <w:t>. D</w:t>
      </w:r>
      <w:r>
        <w:t xml:space="preserve">epuis les années 1970, </w:t>
      </w:r>
      <w:r w:rsidR="007023F6">
        <w:t>des voix se sont élevé</w:t>
      </w:r>
      <w:r w:rsidR="006F0C15">
        <w:t>e</w:t>
      </w:r>
      <w:r w:rsidR="007023F6">
        <w:t xml:space="preserve">s </w:t>
      </w:r>
      <w:r w:rsidR="007023F6" w:rsidRPr="000D428B">
        <w:t xml:space="preserve">pour </w:t>
      </w:r>
      <w:r w:rsidR="00005232" w:rsidRPr="000D428B">
        <w:t xml:space="preserve">dénoncer </w:t>
      </w:r>
      <w:r w:rsidR="001B3098" w:rsidRPr="000D428B">
        <w:t>la domination institutionnelle et praticienne des hommes au détriment des femmes</w:t>
      </w:r>
      <w:r w:rsidR="00403E21">
        <w:t xml:space="preserve"> dans la sphère de l’accouchement</w:t>
      </w:r>
      <w:r w:rsidR="00005232">
        <w:t xml:space="preserve">, la </w:t>
      </w:r>
      <w:r w:rsidR="001F37C4" w:rsidRPr="00CB0FE9">
        <w:t>pathologisation de la conception, de la grossesse et de l’accouchement</w:t>
      </w:r>
      <w:r w:rsidR="001F37C4">
        <w:t xml:space="preserve">, </w:t>
      </w:r>
      <w:r w:rsidR="006F550E">
        <w:t>et la</w:t>
      </w:r>
      <w:r w:rsidR="007023F6">
        <w:t xml:space="preserve"> perte d</w:t>
      </w:r>
      <w:r w:rsidR="006F0C15">
        <w:t>’un</w:t>
      </w:r>
      <w:r w:rsidR="007023F6">
        <w:t xml:space="preserve"> savoir-faire féminin</w:t>
      </w:r>
      <w:r w:rsidR="00246D68" w:rsidRPr="00E11A63">
        <w:rPr>
          <w:rStyle w:val="Appelnotedebasdep"/>
        </w:rPr>
        <w:footnoteReference w:id="3"/>
      </w:r>
      <w:r w:rsidR="007023F6">
        <w:t>.</w:t>
      </w:r>
      <w:r w:rsidR="00193B67">
        <w:t xml:space="preserve"> </w:t>
      </w:r>
      <w:r w:rsidR="003535F7">
        <w:t xml:space="preserve">En Amérique Latine, ces mouvements se sont </w:t>
      </w:r>
      <w:r w:rsidR="006F550E">
        <w:t xml:space="preserve">rapidement </w:t>
      </w:r>
      <w:r w:rsidR="003535F7">
        <w:t xml:space="preserve">structurés et dès le début des années 2000, </w:t>
      </w:r>
      <w:r w:rsidR="00F0757C">
        <w:t>l</w:t>
      </w:r>
      <w:r w:rsidR="003535F7">
        <w:t xml:space="preserve">es féministes </w:t>
      </w:r>
      <w:r w:rsidR="00633F55">
        <w:t xml:space="preserve">ont </w:t>
      </w:r>
      <w:r w:rsidR="00AB65CC">
        <w:t>publi</w:t>
      </w:r>
      <w:r w:rsidR="00633F55">
        <w:t>é</w:t>
      </w:r>
      <w:r w:rsidR="00A618C8">
        <w:t xml:space="preserve"> des données</w:t>
      </w:r>
      <w:r w:rsidR="00977D1D">
        <w:t xml:space="preserve"> </w:t>
      </w:r>
      <w:r w:rsidR="00AB65CC">
        <w:t xml:space="preserve">sur </w:t>
      </w:r>
      <w:r w:rsidR="00977D1D">
        <w:t xml:space="preserve">les violences </w:t>
      </w:r>
      <w:r w:rsidR="004E272C">
        <w:t xml:space="preserve">psychologiques, </w:t>
      </w:r>
      <w:r w:rsidR="008472C5">
        <w:t xml:space="preserve">verbales, </w:t>
      </w:r>
      <w:r w:rsidR="00953FC3">
        <w:t xml:space="preserve">physiques et sexuelles </w:t>
      </w:r>
      <w:r w:rsidR="00FB4EA8">
        <w:t xml:space="preserve">envers les femmes </w:t>
      </w:r>
      <w:r w:rsidR="00977D1D">
        <w:t>au sein de l’hôpital au moment de l’accouchement</w:t>
      </w:r>
      <w:r w:rsidR="00FB4EA8">
        <w:t xml:space="preserve">, ainsi </w:t>
      </w:r>
      <w:r w:rsidR="00426AFC">
        <w:t xml:space="preserve">que des données </w:t>
      </w:r>
      <w:r w:rsidR="00AB65CC">
        <w:t xml:space="preserve">sur </w:t>
      </w:r>
      <w:r w:rsidR="00FB4EA8">
        <w:t>l’usage excessif de certaines pratiques médicales telles que l’épisiotomie ou la césarienne</w:t>
      </w:r>
      <w:r w:rsidR="00977D1D" w:rsidRPr="00E11A63">
        <w:rPr>
          <w:rStyle w:val="Appelnotedebasdep"/>
        </w:rPr>
        <w:footnoteReference w:id="4"/>
      </w:r>
      <w:r w:rsidR="00FB4EA8">
        <w:t xml:space="preserve">. </w:t>
      </w:r>
      <w:r w:rsidR="00C67FEA">
        <w:t>Sous la pression des associations militantes, l</w:t>
      </w:r>
      <w:r w:rsidR="004D6C2D">
        <w:t xml:space="preserve">e Venezuela </w:t>
      </w:r>
      <w:r w:rsidR="00633F55">
        <w:t xml:space="preserve">a été </w:t>
      </w:r>
      <w:r w:rsidR="004D6C2D">
        <w:t xml:space="preserve">le premier pays au monde à inscrire « les violences obstétricales » </w:t>
      </w:r>
      <w:r w:rsidR="00E323DF">
        <w:t>dans sa loi </w:t>
      </w:r>
      <w:r w:rsidR="002F6AE9">
        <w:t>nationale</w:t>
      </w:r>
      <w:r w:rsidR="00E95BE5">
        <w:t xml:space="preserve">. </w:t>
      </w:r>
      <w:r w:rsidR="00E95BE5" w:rsidRPr="00C656AE">
        <w:t>Il définit les violences obstétricales</w:t>
      </w:r>
      <w:r w:rsidR="007B5D7D" w:rsidRPr="00C656AE">
        <w:t xml:space="preserve"> </w:t>
      </w:r>
      <w:r w:rsidR="007E6FF2" w:rsidRPr="00C656AE">
        <w:t>comme une appropriation du corps et des processus de reproduction de</w:t>
      </w:r>
      <w:r w:rsidR="00F10532" w:rsidRPr="00C656AE">
        <w:t>s</w:t>
      </w:r>
      <w:r w:rsidR="007E6FF2" w:rsidRPr="00C656AE">
        <w:t xml:space="preserve"> femmes par le personnel de santé</w:t>
      </w:r>
      <w:r w:rsidR="00F10532" w:rsidRPr="00C656AE">
        <w:t xml:space="preserve">. </w:t>
      </w:r>
      <w:r w:rsidR="00D46DD0" w:rsidRPr="00C656AE">
        <w:t>La loi mentionne que c</w:t>
      </w:r>
      <w:r w:rsidR="00F10532" w:rsidRPr="00C656AE">
        <w:t>ette appropriation</w:t>
      </w:r>
      <w:r w:rsidR="007E6FF2" w:rsidRPr="00C656AE">
        <w:t xml:space="preserve"> </w:t>
      </w:r>
      <w:r w:rsidR="0092461A" w:rsidRPr="00C656AE">
        <w:t>prend la forme</w:t>
      </w:r>
      <w:r w:rsidR="007E6FF2" w:rsidRPr="00C656AE">
        <w:t xml:space="preserve"> </w:t>
      </w:r>
      <w:r w:rsidR="0092461A" w:rsidRPr="00C656AE">
        <w:t>d’</w:t>
      </w:r>
      <w:r w:rsidR="007E6FF2" w:rsidRPr="00C656AE">
        <w:t>une déshumanisation</w:t>
      </w:r>
      <w:r w:rsidR="00F10532" w:rsidRPr="00C656AE">
        <w:t xml:space="preserve"> des soins</w:t>
      </w:r>
      <w:r w:rsidR="007E6FF2" w:rsidRPr="00C656AE">
        <w:t xml:space="preserve">, </w:t>
      </w:r>
      <w:r w:rsidR="0092461A" w:rsidRPr="00C656AE">
        <w:t>d’</w:t>
      </w:r>
      <w:r w:rsidR="007E6FF2" w:rsidRPr="00C656AE">
        <w:t>un abus de médicalisation et</w:t>
      </w:r>
      <w:r w:rsidR="00F10532" w:rsidRPr="00C656AE">
        <w:t>/ou</w:t>
      </w:r>
      <w:r w:rsidR="007E6FF2" w:rsidRPr="00C656AE">
        <w:t xml:space="preserve"> d</w:t>
      </w:r>
      <w:r w:rsidR="0092461A" w:rsidRPr="00C656AE">
        <w:t>’une</w:t>
      </w:r>
      <w:r w:rsidR="007E6FF2" w:rsidRPr="00C656AE">
        <w:t xml:space="preserve"> pathologisation des processus naturels, qui entraîne</w:t>
      </w:r>
      <w:r w:rsidR="00C9529B" w:rsidRPr="00C656AE">
        <w:t>nt</w:t>
      </w:r>
      <w:r w:rsidR="007E6FF2" w:rsidRPr="00C656AE">
        <w:t xml:space="preserve"> une perte</w:t>
      </w:r>
      <w:r w:rsidR="00C9529B" w:rsidRPr="00C656AE">
        <w:t xml:space="preserve"> </w:t>
      </w:r>
      <w:r w:rsidR="007E6FF2" w:rsidRPr="00C656AE">
        <w:t xml:space="preserve">d'autonomie </w:t>
      </w:r>
      <w:r w:rsidR="00C9529B" w:rsidRPr="00C656AE">
        <w:t xml:space="preserve">des femmes </w:t>
      </w:r>
      <w:r w:rsidR="007E6FF2" w:rsidRPr="00C656AE">
        <w:t xml:space="preserve">et </w:t>
      </w:r>
      <w:r w:rsidR="00C9529B" w:rsidRPr="00C656AE">
        <w:t>une perte de</w:t>
      </w:r>
      <w:r w:rsidR="007E6FF2" w:rsidRPr="00C656AE">
        <w:t xml:space="preserve"> capacité à décider librement de leur corps et </w:t>
      </w:r>
      <w:r w:rsidR="00280587" w:rsidRPr="00C656AE">
        <w:t xml:space="preserve">de </w:t>
      </w:r>
      <w:r w:rsidR="007E6FF2" w:rsidRPr="00C656AE">
        <w:t>l</w:t>
      </w:r>
      <w:r w:rsidR="00280587" w:rsidRPr="00C656AE">
        <w:t>eur</w:t>
      </w:r>
      <w:r w:rsidR="007E6FF2" w:rsidRPr="00C656AE">
        <w:t xml:space="preserve"> sexualité, ce qui a un impact négatif sur </w:t>
      </w:r>
      <w:r w:rsidR="007B2A05" w:rsidRPr="00C656AE">
        <w:t xml:space="preserve">leur </w:t>
      </w:r>
      <w:r w:rsidR="007E6FF2" w:rsidRPr="00C656AE">
        <w:t>qualité de vie</w:t>
      </w:r>
      <w:r w:rsidR="00F10532" w:rsidRPr="00E11A63">
        <w:rPr>
          <w:rStyle w:val="Appelnotedebasdep"/>
        </w:rPr>
        <w:footnoteReference w:id="5"/>
      </w:r>
      <w:r w:rsidR="007E6FF2">
        <w:t>.</w:t>
      </w:r>
      <w:r w:rsidR="00280587">
        <w:t xml:space="preserve"> </w:t>
      </w:r>
      <w:r w:rsidR="00AB3BE7">
        <w:t>P</w:t>
      </w:r>
      <w:r w:rsidR="00E323DF">
        <w:t xml:space="preserve">lusieurs autres pays d’Amérique Latine </w:t>
      </w:r>
      <w:r w:rsidR="00E3233B">
        <w:t>comme l’Argentine, le Mexique, le Brésil et l’Uruguay ont suivi la</w:t>
      </w:r>
      <w:r w:rsidR="00AB3BE7">
        <w:t xml:space="preserve"> voie</w:t>
      </w:r>
      <w:r w:rsidR="00E3233B">
        <w:t xml:space="preserve"> </w:t>
      </w:r>
      <w:r w:rsidR="00763955">
        <w:t xml:space="preserve">juridique </w:t>
      </w:r>
      <w:r w:rsidR="00E3233B">
        <w:t xml:space="preserve">du </w:t>
      </w:r>
      <w:r w:rsidR="00E3233B">
        <w:lastRenderedPageBreak/>
        <w:t>Venezuela</w:t>
      </w:r>
      <w:r w:rsidR="00E323DF" w:rsidRPr="00E11A63">
        <w:rPr>
          <w:rStyle w:val="Appelnotedebasdep"/>
        </w:rPr>
        <w:footnoteReference w:id="6"/>
      </w:r>
      <w:r w:rsidR="00BF2F0E">
        <w:t>.</w:t>
      </w:r>
      <w:r w:rsidR="004D74B0" w:rsidRPr="004D74B0">
        <w:t xml:space="preserve"> </w:t>
      </w:r>
      <w:r w:rsidR="004D74B0">
        <w:t>Cependant, la</w:t>
      </w:r>
      <w:r w:rsidR="004D74B0" w:rsidRPr="00CB0FE9">
        <w:t xml:space="preserve"> mise en œuvre effective de ces lois n’est souvent pas assurée</w:t>
      </w:r>
      <w:r w:rsidR="004D74B0" w:rsidRPr="00E11A63">
        <w:rPr>
          <w:rStyle w:val="Appelnotedebasdep"/>
        </w:rPr>
        <w:footnoteReference w:id="7"/>
      </w:r>
      <w:r w:rsidR="004D74B0">
        <w:t xml:space="preserve"> et l’</w:t>
      </w:r>
      <w:r w:rsidR="004D74B0" w:rsidRPr="00CB0FE9">
        <w:t xml:space="preserve">appareil législatif seul ne suffit pas pour lutter contre </w:t>
      </w:r>
      <w:r w:rsidR="009831EE">
        <w:t>ces violences</w:t>
      </w:r>
      <w:r w:rsidR="004D74B0" w:rsidRPr="00CB0FE9">
        <w:t>.</w:t>
      </w:r>
    </w:p>
    <w:p w14:paraId="70239526" w14:textId="223C5D5E" w:rsidR="000442BA" w:rsidRPr="004262E8" w:rsidRDefault="000F71D9" w:rsidP="004262E8">
      <w:pPr>
        <w:pStyle w:val="Soustitre1"/>
        <w:rPr>
          <w:rFonts w:cs="Calibri"/>
        </w:rPr>
      </w:pPr>
      <w:bookmarkStart w:id="8" w:name="_Toc60939073"/>
      <w:r w:rsidRPr="00637C40">
        <w:t xml:space="preserve">Des mobilisations sociales en </w:t>
      </w:r>
      <w:r w:rsidR="00763955" w:rsidRPr="00637C40">
        <w:t>France dans les années 2010</w:t>
      </w:r>
      <w:bookmarkEnd w:id="8"/>
    </w:p>
    <w:p w14:paraId="535F6EFE" w14:textId="59B782D9" w:rsidR="00806146" w:rsidRPr="00ED5CB5" w:rsidRDefault="003A6791" w:rsidP="00ED5CB5">
      <w:pPr>
        <w:jc w:val="both"/>
      </w:pPr>
      <w:r w:rsidRPr="00D12BBE">
        <w:rPr>
          <w:rFonts w:ascii="Calibri" w:hAnsi="Calibri" w:cs="Calibri"/>
        </w:rPr>
        <w:t xml:space="preserve">En Europe, le concept de violences </w:t>
      </w:r>
      <w:r w:rsidR="00C56A73" w:rsidRPr="00D12BBE">
        <w:rPr>
          <w:rFonts w:ascii="Calibri" w:hAnsi="Calibri" w:cs="Calibri"/>
        </w:rPr>
        <w:t xml:space="preserve">gynécologiques et </w:t>
      </w:r>
      <w:r w:rsidRPr="00D12BBE">
        <w:rPr>
          <w:rFonts w:ascii="Calibri" w:hAnsi="Calibri" w:cs="Calibri"/>
        </w:rPr>
        <w:t xml:space="preserve">obstétricales </w:t>
      </w:r>
      <w:r w:rsidR="00C56A73" w:rsidRPr="00D12BBE">
        <w:rPr>
          <w:rFonts w:ascii="Calibri" w:hAnsi="Calibri" w:cs="Calibri"/>
        </w:rPr>
        <w:t>(V</w:t>
      </w:r>
      <w:r w:rsidR="00B60873" w:rsidRPr="00D12BBE">
        <w:rPr>
          <w:rFonts w:ascii="Calibri" w:hAnsi="Calibri" w:cs="Calibri"/>
        </w:rPr>
        <w:t xml:space="preserve">GO) </w:t>
      </w:r>
      <w:r w:rsidRPr="00D12BBE">
        <w:rPr>
          <w:rFonts w:ascii="Calibri" w:hAnsi="Calibri" w:cs="Calibri"/>
        </w:rPr>
        <w:t>attire une attention publique et politique croissante</w:t>
      </w:r>
      <w:r w:rsidR="00400B9F" w:rsidRPr="00D12BBE">
        <w:rPr>
          <w:rFonts w:ascii="Calibri" w:hAnsi="Calibri" w:cs="Calibri"/>
        </w:rPr>
        <w:t xml:space="preserve"> depuis les années 2010</w:t>
      </w:r>
      <w:r w:rsidRPr="00D12BBE">
        <w:rPr>
          <w:rFonts w:ascii="Calibri" w:hAnsi="Calibri" w:cs="Calibri"/>
        </w:rPr>
        <w:t xml:space="preserve">. </w:t>
      </w:r>
      <w:r w:rsidR="00352A81" w:rsidRPr="00D12BBE">
        <w:t xml:space="preserve">En France, </w:t>
      </w:r>
      <w:r w:rsidR="00EE3C33" w:rsidRPr="00D12BBE">
        <w:t xml:space="preserve">c’est </w:t>
      </w:r>
      <w:r w:rsidR="00400B9F" w:rsidRPr="00D12BBE">
        <w:t>à partir</w:t>
      </w:r>
      <w:r w:rsidR="00EE3C33" w:rsidRPr="00D12BBE">
        <w:t xml:space="preserve"> de 20</w:t>
      </w:r>
      <w:r w:rsidR="00400B9F" w:rsidRPr="00D12BBE">
        <w:t>14</w:t>
      </w:r>
      <w:r w:rsidR="00EE3C33" w:rsidRPr="00D12BBE">
        <w:t xml:space="preserve"> que </w:t>
      </w:r>
      <w:r w:rsidR="00A46208" w:rsidRPr="00D12BBE">
        <w:t xml:space="preserve">l’on observe </w:t>
      </w:r>
      <w:r w:rsidR="0013098F" w:rsidRPr="00D12BBE">
        <w:rPr>
          <w:rFonts w:ascii="Calibri" w:hAnsi="Calibri" w:cs="Calibri"/>
        </w:rPr>
        <w:t xml:space="preserve">des mobilisations </w:t>
      </w:r>
      <w:r w:rsidR="007D34A7" w:rsidRPr="00D12BBE">
        <w:rPr>
          <w:rFonts w:ascii="Calibri" w:hAnsi="Calibri" w:cs="Calibri"/>
        </w:rPr>
        <w:t xml:space="preserve">sociales </w:t>
      </w:r>
      <w:r w:rsidR="0013098F" w:rsidRPr="00D12BBE">
        <w:rPr>
          <w:rFonts w:ascii="Calibri" w:hAnsi="Calibri" w:cs="Calibri"/>
        </w:rPr>
        <w:t>fortement relayées par les médias (dénonciations du</w:t>
      </w:r>
      <w:r w:rsidR="00A46208" w:rsidRPr="00D12BBE">
        <w:rPr>
          <w:rFonts w:ascii="Calibri" w:hAnsi="Calibri" w:cs="Calibri"/>
        </w:rPr>
        <w:t xml:space="preserve"> </w:t>
      </w:r>
      <w:r w:rsidR="0013098F" w:rsidRPr="00D12BBE">
        <w:rPr>
          <w:rFonts w:ascii="Calibri" w:hAnsi="Calibri" w:cs="Calibri"/>
        </w:rPr>
        <w:t xml:space="preserve">« point du mari »), </w:t>
      </w:r>
      <w:r w:rsidR="00522763" w:rsidRPr="00D12BBE">
        <w:rPr>
          <w:rFonts w:ascii="Calibri" w:hAnsi="Calibri" w:cs="Calibri"/>
        </w:rPr>
        <w:t>d</w:t>
      </w:r>
      <w:r w:rsidR="007D34A7" w:rsidRPr="00D12BBE">
        <w:rPr>
          <w:rFonts w:ascii="Calibri" w:hAnsi="Calibri" w:cs="Calibri"/>
        </w:rPr>
        <w:t xml:space="preserve">ans certains </w:t>
      </w:r>
      <w:r w:rsidR="0013098F" w:rsidRPr="00D12BBE">
        <w:rPr>
          <w:rFonts w:ascii="Calibri" w:hAnsi="Calibri" w:cs="Calibri"/>
        </w:rPr>
        <w:t xml:space="preserve">blogs et </w:t>
      </w:r>
      <w:r w:rsidR="007D34A7" w:rsidRPr="00D12BBE">
        <w:rPr>
          <w:rFonts w:ascii="Calibri" w:hAnsi="Calibri" w:cs="Calibri"/>
        </w:rPr>
        <w:t xml:space="preserve">par les </w:t>
      </w:r>
      <w:r w:rsidR="0013098F" w:rsidRPr="00D12BBE">
        <w:rPr>
          <w:rFonts w:ascii="Calibri" w:hAnsi="Calibri" w:cs="Calibri"/>
        </w:rPr>
        <w:t>réseaux sociaux (#payetongyneco,</w:t>
      </w:r>
      <w:r w:rsidR="00A46208" w:rsidRPr="00D12BBE">
        <w:rPr>
          <w:rFonts w:ascii="Calibri" w:hAnsi="Calibri" w:cs="Calibri"/>
        </w:rPr>
        <w:t xml:space="preserve"> </w:t>
      </w:r>
      <w:r w:rsidR="0013098F" w:rsidRPr="00D12BBE">
        <w:rPr>
          <w:rFonts w:ascii="Calibri" w:hAnsi="Calibri" w:cs="Calibri"/>
        </w:rPr>
        <w:t>#payetonuterus)</w:t>
      </w:r>
      <w:r w:rsidR="00A46208" w:rsidRPr="00D12BBE">
        <w:rPr>
          <w:rFonts w:ascii="Calibri" w:hAnsi="Calibri" w:cs="Calibri"/>
        </w:rPr>
        <w:t xml:space="preserve">. </w:t>
      </w:r>
      <w:r w:rsidR="005239AB" w:rsidRPr="00D12BBE">
        <w:rPr>
          <w:rFonts w:ascii="Calibri" w:hAnsi="Calibri" w:cs="Calibri"/>
        </w:rPr>
        <w:t>En 2017, u</w:t>
      </w:r>
      <w:r w:rsidR="0013098F" w:rsidRPr="00D12BBE">
        <w:rPr>
          <w:rFonts w:ascii="Calibri" w:hAnsi="Calibri" w:cs="Calibri"/>
        </w:rPr>
        <w:t xml:space="preserve">n observatoire des violences gynécologiques et obstétricales </w:t>
      </w:r>
      <w:r w:rsidR="00664DE9" w:rsidRPr="00D12BBE">
        <w:rPr>
          <w:rFonts w:ascii="Calibri" w:hAnsi="Calibri" w:cs="Calibri"/>
        </w:rPr>
        <w:t xml:space="preserve">(IRASF) </w:t>
      </w:r>
      <w:r w:rsidR="0013098F" w:rsidRPr="00D12BBE">
        <w:rPr>
          <w:rFonts w:ascii="Calibri" w:hAnsi="Calibri" w:cs="Calibri"/>
        </w:rPr>
        <w:t>est créé et</w:t>
      </w:r>
      <w:r w:rsidR="00A46208" w:rsidRPr="00D12BBE">
        <w:rPr>
          <w:rFonts w:ascii="Calibri" w:hAnsi="Calibri" w:cs="Calibri"/>
        </w:rPr>
        <w:t xml:space="preserve"> </w:t>
      </w:r>
      <w:r w:rsidR="009D67C9" w:rsidRPr="00D12BBE">
        <w:rPr>
          <w:rFonts w:ascii="Calibri" w:hAnsi="Calibri" w:cs="Calibri"/>
        </w:rPr>
        <w:t>Marlène Schiappa, Secrétaire d’Etat chargée de l’Egalité entre les femmes et les hommes</w:t>
      </w:r>
      <w:r w:rsidR="00806146" w:rsidRPr="00D12BBE">
        <w:rPr>
          <w:rFonts w:ascii="Calibri" w:hAnsi="Calibri" w:cs="Calibri"/>
        </w:rPr>
        <w:t>,</w:t>
      </w:r>
      <w:r w:rsidR="009D67C9" w:rsidRPr="00D12BBE">
        <w:rPr>
          <w:rFonts w:ascii="Calibri" w:hAnsi="Calibri" w:cs="Calibri"/>
        </w:rPr>
        <w:t xml:space="preserve"> commande </w:t>
      </w:r>
      <w:r w:rsidR="0013098F" w:rsidRPr="00D12BBE">
        <w:rPr>
          <w:rFonts w:ascii="Calibri" w:hAnsi="Calibri" w:cs="Calibri"/>
        </w:rPr>
        <w:t xml:space="preserve">un rapport </w:t>
      </w:r>
      <w:r w:rsidR="00646A96" w:rsidRPr="00D12BBE">
        <w:rPr>
          <w:rFonts w:ascii="Calibri" w:hAnsi="Calibri" w:cs="Calibri"/>
        </w:rPr>
        <w:t>au</w:t>
      </w:r>
      <w:r w:rsidR="0013098F" w:rsidRPr="00D12BBE">
        <w:rPr>
          <w:rFonts w:ascii="Calibri" w:hAnsi="Calibri" w:cs="Calibri"/>
        </w:rPr>
        <w:t xml:space="preserve"> Haut Conseil à l’Egalité des femmes et des hommes </w:t>
      </w:r>
      <w:r w:rsidR="00654BD9" w:rsidRPr="00D12BBE">
        <w:rPr>
          <w:rFonts w:ascii="Calibri" w:hAnsi="Calibri" w:cs="Calibri"/>
        </w:rPr>
        <w:t xml:space="preserve">(HCE) </w:t>
      </w:r>
      <w:r w:rsidR="00646A96" w:rsidRPr="00D12BBE">
        <w:rPr>
          <w:rFonts w:ascii="Calibri" w:hAnsi="Calibri" w:cs="Calibri"/>
        </w:rPr>
        <w:t>sur les violences gynécologiques et obstétricales</w:t>
      </w:r>
      <w:r w:rsidR="001D39D7" w:rsidRPr="00D12BBE">
        <w:rPr>
          <w:rFonts w:ascii="Calibri" w:hAnsi="Calibri" w:cs="Calibri"/>
        </w:rPr>
        <w:t xml:space="preserve">. Ce rapport </w:t>
      </w:r>
      <w:r w:rsidR="00646A96" w:rsidRPr="00D12BBE">
        <w:rPr>
          <w:rFonts w:ascii="Calibri" w:hAnsi="Calibri" w:cs="Calibri"/>
        </w:rPr>
        <w:t xml:space="preserve">est publié en 2018. Il </w:t>
      </w:r>
      <w:r w:rsidR="001D39D7" w:rsidRPr="00D12BBE">
        <w:rPr>
          <w:rFonts w:ascii="Calibri" w:hAnsi="Calibri" w:cs="Calibri"/>
        </w:rPr>
        <w:t xml:space="preserve">donne largement la voix aux femmes </w:t>
      </w:r>
      <w:r w:rsidR="00184AE4" w:rsidRPr="00D12BBE">
        <w:rPr>
          <w:rFonts w:ascii="Calibri" w:hAnsi="Calibri" w:cs="Calibri"/>
        </w:rPr>
        <w:t xml:space="preserve">en </w:t>
      </w:r>
      <w:r w:rsidR="008D5002">
        <w:rPr>
          <w:rFonts w:ascii="Calibri" w:hAnsi="Calibri" w:cs="Calibri"/>
        </w:rPr>
        <w:t>publiant</w:t>
      </w:r>
      <w:r w:rsidR="008D5002" w:rsidRPr="00D12BBE">
        <w:rPr>
          <w:rFonts w:ascii="Calibri" w:hAnsi="Calibri" w:cs="Calibri"/>
        </w:rPr>
        <w:t xml:space="preserve"> </w:t>
      </w:r>
      <w:r w:rsidR="00215B8F" w:rsidRPr="00D12BBE">
        <w:rPr>
          <w:rFonts w:ascii="Calibri" w:hAnsi="Calibri" w:cs="Calibri"/>
        </w:rPr>
        <w:t>de nombreu</w:t>
      </w:r>
      <w:r w:rsidR="00184AE4" w:rsidRPr="00D12BBE">
        <w:rPr>
          <w:rFonts w:ascii="Calibri" w:hAnsi="Calibri" w:cs="Calibri"/>
        </w:rPr>
        <w:t>ses</w:t>
      </w:r>
      <w:r w:rsidR="00215B8F" w:rsidRPr="00D12BBE">
        <w:rPr>
          <w:rFonts w:ascii="Calibri" w:hAnsi="Calibri" w:cs="Calibri"/>
        </w:rPr>
        <w:t xml:space="preserve"> paroles de femmes, et il souligne le lien entre sexisme et violences </w:t>
      </w:r>
      <w:r w:rsidR="00815C4E" w:rsidRPr="00D12BBE">
        <w:rPr>
          <w:rFonts w:ascii="Calibri" w:hAnsi="Calibri" w:cs="Calibri"/>
        </w:rPr>
        <w:t>durant le suivi gynécologique et obstétrical</w:t>
      </w:r>
      <w:r w:rsidR="00B75D1F" w:rsidRPr="00D12BBE">
        <w:rPr>
          <w:rFonts w:ascii="Calibri" w:hAnsi="Calibri" w:cs="Calibri"/>
        </w:rPr>
        <w:t> : « </w:t>
      </w:r>
      <w:r w:rsidR="00C64594" w:rsidRPr="00D12BBE">
        <w:rPr>
          <w:rFonts w:ascii="Calibri" w:hAnsi="Calibri" w:cs="Calibri"/>
        </w:rPr>
        <w:t>Les violences gynécologiques et obstétricales sont les actes sexistes les plus graves qui peuvent se produire dans</w:t>
      </w:r>
      <w:r w:rsidR="00B75D1F" w:rsidRPr="00D12BBE">
        <w:rPr>
          <w:rFonts w:ascii="Calibri" w:hAnsi="Calibri" w:cs="Calibri"/>
        </w:rPr>
        <w:t xml:space="preserve"> </w:t>
      </w:r>
      <w:r w:rsidR="00C64594" w:rsidRPr="00D12BBE">
        <w:rPr>
          <w:rFonts w:ascii="Calibri" w:hAnsi="Calibri" w:cs="Calibri"/>
        </w:rPr>
        <w:t>le cadre du suivi gynécologique et obstétrical des femmes.</w:t>
      </w:r>
      <w:r w:rsidR="003E2D8E" w:rsidRPr="00D12BBE">
        <w:rPr>
          <w:rFonts w:ascii="Calibri" w:hAnsi="Calibri" w:cs="Calibri"/>
        </w:rPr>
        <w:t xml:space="preserve"> Les actes sexistes durant le suivi gynécologique et obstétrical sont des gestes, propos, pratiques et comportements exercés ou omis par un.e ou plusieurs membres du personnel soignant sur une patiente au cours du suivi gynécologique et obstétrical et qui s’inscrivent dans l’histoire de la médecine gynécologique et obstétricale, traversée par la volonté de contrôler le corps des femmes (sexualité et capacité à enfanter). Ils sont le fait de soignant.e.s — de toutes spécialités — femmes et hommes, qui n’ont pas forcément l’intention d’être maltraitant.e.s. Ils peuvent prendre des formes très diverses, des plus anodines en apparence aux plus graves »</w:t>
      </w:r>
      <w:r w:rsidR="00EA4303" w:rsidRPr="00D12BBE">
        <w:rPr>
          <w:vertAlign w:val="superscript"/>
        </w:rPr>
        <w:t xml:space="preserve"> </w:t>
      </w:r>
      <w:r w:rsidR="00EA4303" w:rsidRPr="00334F6E">
        <w:rPr>
          <w:rStyle w:val="Appelnotedebasdep"/>
        </w:rPr>
        <w:footnoteReference w:id="8"/>
      </w:r>
      <w:r w:rsidR="003E2D8E" w:rsidRPr="00D12BBE">
        <w:rPr>
          <w:rFonts w:ascii="Calibri" w:hAnsi="Calibri" w:cs="Calibri"/>
        </w:rPr>
        <w:t xml:space="preserve">. </w:t>
      </w:r>
      <w:r w:rsidR="00DF10E9" w:rsidRPr="00D12BBE">
        <w:t>Toutes les femmes peuvent être victimes de VG</w:t>
      </w:r>
      <w:r w:rsidR="009A0A69" w:rsidRPr="00D12BBE">
        <w:t>O</w:t>
      </w:r>
      <w:r w:rsidR="00DF10E9" w:rsidRPr="00D12BBE">
        <w:t xml:space="preserve">. Cependant, certaines caractéristiques sociales </w:t>
      </w:r>
      <w:r w:rsidR="001F2237">
        <w:t>exposent</w:t>
      </w:r>
      <w:r w:rsidR="00DF10E9" w:rsidRPr="00D12BBE">
        <w:t xml:space="preserve"> </w:t>
      </w:r>
      <w:r w:rsidR="009F6CCE" w:rsidRPr="00D12BBE">
        <w:t xml:space="preserve">particulièrement </w:t>
      </w:r>
      <w:r w:rsidR="00EE17D3" w:rsidRPr="00D12BBE">
        <w:t>certaines femmes</w:t>
      </w:r>
      <w:r w:rsidR="00DF10E9" w:rsidRPr="00D12BBE">
        <w:t xml:space="preserve">, </w:t>
      </w:r>
      <w:r w:rsidR="00D72A6F" w:rsidRPr="00D12BBE">
        <w:t>telles que</w:t>
      </w:r>
      <w:r w:rsidR="00DF10E9" w:rsidRPr="00D12BBE">
        <w:t xml:space="preserve"> l</w:t>
      </w:r>
      <w:r w:rsidR="000C7A92" w:rsidRPr="00D12BBE">
        <w:t xml:space="preserve">e jeune </w:t>
      </w:r>
      <w:r w:rsidR="00DF10E9" w:rsidRPr="00D12BBE">
        <w:t>âge, la classe sociale,</w:t>
      </w:r>
      <w:r w:rsidR="00DF10E9">
        <w:t xml:space="preserve"> l’ethnie, la race, l’orientation sexuelle, le handicap, la présence de certaines pathologies </w:t>
      </w:r>
      <w:r w:rsidR="009A0A69">
        <w:t>(</w:t>
      </w:r>
      <w:r w:rsidR="00DF10E9">
        <w:t>VIH/SIDA</w:t>
      </w:r>
      <w:r w:rsidR="009A0A69">
        <w:t>)</w:t>
      </w:r>
      <w:r w:rsidR="00DF10E9">
        <w:t>, le statut m</w:t>
      </w:r>
      <w:r w:rsidR="00AA70FE">
        <w:t xml:space="preserve">arital, </w:t>
      </w:r>
      <w:r w:rsidR="00AB41EB">
        <w:t xml:space="preserve">la prostitution, </w:t>
      </w:r>
      <w:r w:rsidR="00AA70FE">
        <w:t>le statut migratoire</w:t>
      </w:r>
      <w:r w:rsidR="00DF10E9" w:rsidRPr="00E11A63">
        <w:rPr>
          <w:rStyle w:val="Appelnotedebasdep"/>
        </w:rPr>
        <w:footnoteReference w:id="9"/>
      </w:r>
      <w:r w:rsidR="00DF10E9">
        <w:t>.</w:t>
      </w:r>
      <w:r w:rsidR="000C7A92" w:rsidRPr="000A4F4D">
        <w:rPr>
          <w:rFonts w:ascii="Calibri" w:hAnsi="Calibri" w:cs="Calibri"/>
        </w:rPr>
        <w:t xml:space="preserve"> </w:t>
      </w:r>
      <w:r w:rsidR="000C7A92" w:rsidRPr="008D0438">
        <w:rPr>
          <w:rFonts w:ascii="Calibri" w:hAnsi="Calibri" w:cs="Calibri"/>
        </w:rPr>
        <w:t>Dans cette FISONG, n</w:t>
      </w:r>
      <w:r w:rsidR="003E2D8E" w:rsidRPr="008D0438">
        <w:rPr>
          <w:rFonts w:ascii="Calibri" w:hAnsi="Calibri" w:cs="Calibri"/>
        </w:rPr>
        <w:t xml:space="preserve">ous adopterons </w:t>
      </w:r>
      <w:r w:rsidR="00654BD9" w:rsidRPr="008D0438">
        <w:rPr>
          <w:rFonts w:ascii="Calibri" w:hAnsi="Calibri" w:cs="Calibri"/>
        </w:rPr>
        <w:t xml:space="preserve">la définition </w:t>
      </w:r>
      <w:r w:rsidR="00AA70FE">
        <w:rPr>
          <w:rFonts w:ascii="Calibri" w:hAnsi="Calibri" w:cs="Calibri"/>
        </w:rPr>
        <w:t>du</w:t>
      </w:r>
      <w:r w:rsidR="000B40F2">
        <w:rPr>
          <w:rFonts w:ascii="Calibri" w:hAnsi="Calibri" w:cs="Calibri"/>
        </w:rPr>
        <w:t xml:space="preserve"> </w:t>
      </w:r>
      <w:r w:rsidR="0096438B" w:rsidRPr="008D0438">
        <w:rPr>
          <w:rFonts w:ascii="Calibri" w:hAnsi="Calibri" w:cs="Calibri"/>
        </w:rPr>
        <w:t>HCE</w:t>
      </w:r>
      <w:r w:rsidR="003E2D8E" w:rsidRPr="008D0438">
        <w:rPr>
          <w:rFonts w:ascii="Calibri" w:hAnsi="Calibri" w:cs="Calibri"/>
        </w:rPr>
        <w:t>.</w:t>
      </w:r>
    </w:p>
    <w:p w14:paraId="0F31DE05" w14:textId="77777777" w:rsidR="0013098F" w:rsidRPr="002A0AF8" w:rsidRDefault="000A4F4D" w:rsidP="004262E8">
      <w:pPr>
        <w:pStyle w:val="Soustitre1"/>
      </w:pPr>
      <w:r w:rsidRPr="002A0AF8">
        <w:t xml:space="preserve"> </w:t>
      </w:r>
      <w:bookmarkStart w:id="9" w:name="_Toc60939074"/>
      <w:r w:rsidR="00806146" w:rsidRPr="002A0AF8">
        <w:t xml:space="preserve">Les termes </w:t>
      </w:r>
      <w:r w:rsidR="00735320" w:rsidRPr="002A0AF8">
        <w:t>mobilisés</w:t>
      </w:r>
      <w:r w:rsidR="00806146" w:rsidRPr="002A0AF8">
        <w:t xml:space="preserve"> pour caractériser ces violences</w:t>
      </w:r>
      <w:bookmarkEnd w:id="9"/>
    </w:p>
    <w:p w14:paraId="071F0DD5" w14:textId="0FA125B3" w:rsidR="008D05D2" w:rsidRDefault="00BF2F0E" w:rsidP="000A4F4D">
      <w:pPr>
        <w:jc w:val="both"/>
      </w:pPr>
      <w:r>
        <w:t>Les termes utilis</w:t>
      </w:r>
      <w:r w:rsidR="00EA673A">
        <w:t>és</w:t>
      </w:r>
      <w:r>
        <w:t xml:space="preserve"> pour décrire ces </w:t>
      </w:r>
      <w:r w:rsidR="009831EE">
        <w:t>pratiques</w:t>
      </w:r>
      <w:r w:rsidR="00602175">
        <w:t xml:space="preserve"> </w:t>
      </w:r>
      <w:r w:rsidR="003033B2">
        <w:t>sont discutés depuis quelques années</w:t>
      </w:r>
      <w:r w:rsidR="00AE5247">
        <w:t xml:space="preserve"> dans la </w:t>
      </w:r>
      <w:r w:rsidR="00E91460">
        <w:t>littérature</w:t>
      </w:r>
      <w:r w:rsidR="003033B2">
        <w:t xml:space="preserve">. </w:t>
      </w:r>
      <w:r w:rsidR="00933799">
        <w:t>Alors que certain</w:t>
      </w:r>
      <w:r w:rsidR="0028511E">
        <w:t>.e</w:t>
      </w:r>
      <w:r w:rsidR="00933799">
        <w:t>s auteur</w:t>
      </w:r>
      <w:r w:rsidR="0028511E">
        <w:t>.e</w:t>
      </w:r>
      <w:r w:rsidR="00933799">
        <w:t xml:space="preserve">s </w:t>
      </w:r>
      <w:r w:rsidR="00E91460">
        <w:t>mobilisent</w:t>
      </w:r>
      <w:r w:rsidR="00BA4133">
        <w:t xml:space="preserve"> </w:t>
      </w:r>
      <w:r w:rsidR="00CC26E2">
        <w:t xml:space="preserve">depuis le début des années 2000 </w:t>
      </w:r>
      <w:r w:rsidR="00BA4133">
        <w:t xml:space="preserve">le terme de </w:t>
      </w:r>
      <w:r w:rsidR="00933799">
        <w:t xml:space="preserve"> </w:t>
      </w:r>
      <w:r w:rsidR="00BA4133">
        <w:t>« </w:t>
      </w:r>
      <w:r w:rsidR="00933799">
        <w:t>violences</w:t>
      </w:r>
      <w:r w:rsidR="00BA4133">
        <w:t> »</w:t>
      </w:r>
      <w:r w:rsidR="00933799" w:rsidRPr="00E11A63">
        <w:rPr>
          <w:rStyle w:val="Appelnotedebasdep"/>
        </w:rPr>
        <w:footnoteReference w:id="10"/>
      </w:r>
      <w:r w:rsidR="00933799">
        <w:t>, d’autres</w:t>
      </w:r>
      <w:r w:rsidR="009B7A99">
        <w:t xml:space="preserve"> </w:t>
      </w:r>
      <w:r w:rsidR="00791DC6">
        <w:t>chercheur</w:t>
      </w:r>
      <w:r w:rsidR="0028511E">
        <w:t>.e</w:t>
      </w:r>
      <w:r w:rsidR="00791DC6">
        <w:t>s</w:t>
      </w:r>
      <w:r w:rsidR="004E54A9">
        <w:t xml:space="preserve"> ou institutions </w:t>
      </w:r>
      <w:r w:rsidR="00933799">
        <w:t xml:space="preserve">préfèrent </w:t>
      </w:r>
      <w:r w:rsidR="00BB643C">
        <w:t>utiliser le</w:t>
      </w:r>
      <w:r w:rsidR="005B52BB">
        <w:t>s</w:t>
      </w:r>
      <w:r w:rsidR="00BB643C">
        <w:t xml:space="preserve"> terme</w:t>
      </w:r>
      <w:r w:rsidR="005B52BB">
        <w:t>s</w:t>
      </w:r>
      <w:r w:rsidR="00BB643C">
        <w:t xml:space="preserve"> de «</w:t>
      </w:r>
      <w:r w:rsidR="005B52BB">
        <w:t xml:space="preserve"> manque de respect et </w:t>
      </w:r>
      <w:r w:rsidR="00C44F50">
        <w:t>mauvais traitements</w:t>
      </w:r>
      <w:r w:rsidR="005B52BB">
        <w:t> »</w:t>
      </w:r>
      <w:r w:rsidR="00BB643C">
        <w:t> </w:t>
      </w:r>
      <w:r w:rsidR="005B52BB">
        <w:t>(</w:t>
      </w:r>
      <w:r w:rsidR="00BB643C" w:rsidRPr="000A4F4D">
        <w:rPr>
          <w:i/>
          <w:iCs/>
        </w:rPr>
        <w:t>disrespect and abuse during childbirth</w:t>
      </w:r>
      <w:r w:rsidR="005B52BB">
        <w:t>)</w:t>
      </w:r>
      <w:r w:rsidR="007F2425" w:rsidRPr="00E11A63">
        <w:rPr>
          <w:rStyle w:val="Appelnotedebasdep"/>
        </w:rPr>
        <w:footnoteReference w:id="11"/>
      </w:r>
      <w:r w:rsidR="008F7EEF">
        <w:t>.</w:t>
      </w:r>
      <w:r w:rsidR="00CC26E2">
        <w:t xml:space="preserve"> </w:t>
      </w:r>
      <w:r w:rsidR="00264258">
        <w:t xml:space="preserve">Bohren </w:t>
      </w:r>
      <w:r w:rsidR="00BC16F4">
        <w:t>p</w:t>
      </w:r>
      <w:r w:rsidR="00264258">
        <w:t xml:space="preserve">ropose d’utiliser le terme de « maltraitance </w:t>
      </w:r>
      <w:r w:rsidR="00407ED3">
        <w:t>des femmes au cours de leur accouchement » (</w:t>
      </w:r>
      <w:r w:rsidR="00407ED3" w:rsidRPr="000A4F4D">
        <w:rPr>
          <w:i/>
          <w:iCs/>
        </w:rPr>
        <w:t xml:space="preserve">mistreatment of women during </w:t>
      </w:r>
      <w:r w:rsidR="00407ED3" w:rsidRPr="000A4F4D">
        <w:rPr>
          <w:i/>
          <w:iCs/>
        </w:rPr>
        <w:lastRenderedPageBreak/>
        <w:t>childbirth</w:t>
      </w:r>
      <w:r w:rsidR="00407ED3">
        <w:t>)</w:t>
      </w:r>
      <w:r w:rsidR="003F0951" w:rsidRPr="00E11A63">
        <w:rPr>
          <w:rStyle w:val="Appelnotedebasdep"/>
        </w:rPr>
        <w:footnoteReference w:id="12"/>
      </w:r>
      <w:r w:rsidR="003F0951">
        <w:t xml:space="preserve">. </w:t>
      </w:r>
      <w:r w:rsidR="00791DC6">
        <w:t>Selon elle, l</w:t>
      </w:r>
      <w:r w:rsidR="003F0951">
        <w:t xml:space="preserve">’utilisation de ce terme </w:t>
      </w:r>
      <w:r w:rsidR="0028511E">
        <w:t>permet</w:t>
      </w:r>
      <w:r w:rsidR="003F0951">
        <w:t xml:space="preserve"> de placer la femme au centre de l’expérience et ainsi de promouvoir une </w:t>
      </w:r>
      <w:r w:rsidR="00523FF0">
        <w:t>approche</w:t>
      </w:r>
      <w:r w:rsidR="003F0951">
        <w:t xml:space="preserve"> centrée sur </w:t>
      </w:r>
      <w:r w:rsidR="0076126D">
        <w:t>elle</w:t>
      </w:r>
      <w:r w:rsidR="003F0951">
        <w:t xml:space="preserve">. </w:t>
      </w:r>
      <w:r w:rsidR="00012BFC">
        <w:t>A l’inverse</w:t>
      </w:r>
      <w:r w:rsidR="00FA3340">
        <w:t xml:space="preserve">, </w:t>
      </w:r>
      <w:r w:rsidR="006247CB">
        <w:t>c</w:t>
      </w:r>
      <w:r w:rsidR="00AB432A">
        <w:t xml:space="preserve">ertaines féministes défendent l’utilisation du </w:t>
      </w:r>
      <w:r w:rsidR="006247CB">
        <w:t>concept de</w:t>
      </w:r>
      <w:r w:rsidR="00AB432A">
        <w:t xml:space="preserve"> « violence obstétricale » afin de rendre visible la dimension structurelle de ce</w:t>
      </w:r>
      <w:r w:rsidR="00F7142C">
        <w:t>tte</w:t>
      </w:r>
      <w:r w:rsidR="00AB432A">
        <w:t xml:space="preserve"> violence</w:t>
      </w:r>
      <w:r w:rsidR="00F63600" w:rsidRPr="00E11A63">
        <w:rPr>
          <w:rStyle w:val="Appelnotedebasdep"/>
        </w:rPr>
        <w:footnoteReference w:id="13"/>
      </w:r>
      <w:r w:rsidR="00F63600">
        <w:t> : il s’agit d’une violence de genre qui s’inscrit dans le continuum des violences faites aux femmes.</w:t>
      </w:r>
      <w:r w:rsidR="00765929">
        <w:t xml:space="preserve"> </w:t>
      </w:r>
      <w:r w:rsidR="00E05EC7">
        <w:t xml:space="preserve">En effet, les </w:t>
      </w:r>
      <w:r w:rsidR="00B60873">
        <w:t>v</w:t>
      </w:r>
      <w:r w:rsidR="00E05EC7">
        <w:t xml:space="preserve">iolences </w:t>
      </w:r>
      <w:r w:rsidR="00B60873">
        <w:t>g</w:t>
      </w:r>
      <w:r w:rsidR="00E05EC7">
        <w:t xml:space="preserve">ynécologiques et </w:t>
      </w:r>
      <w:r w:rsidR="00B60873">
        <w:t>o</w:t>
      </w:r>
      <w:r w:rsidR="00E05EC7">
        <w:t>bstétricales s’inscrivent dans un système patriarcal qui s’accompagne d’inégalités systémiques entre les hommes et les femmes au détriment de ces dernières. Les femmes sont victimes de ces violences parce qu’elles sont des femmes et que le corps des femmes est encore trop souvent réifié, associé à un objet dont on peut disposer. Ces violences s’inscrivent donc dans la catégorie des violences basées sur le genre (VBG)</w:t>
      </w:r>
      <w:r w:rsidR="00E05EC7" w:rsidRPr="00E11A63">
        <w:rPr>
          <w:rStyle w:val="Appelnotedebasdep"/>
        </w:rPr>
        <w:footnoteReference w:id="14"/>
      </w:r>
      <w:r w:rsidR="00E05EC7">
        <w:t xml:space="preserve">. </w:t>
      </w:r>
      <w:r w:rsidR="00B1218D" w:rsidRPr="00044C3F">
        <w:t>Enfin</w:t>
      </w:r>
      <w:r w:rsidR="00765929" w:rsidRPr="00044C3F">
        <w:t xml:space="preserve">, diverses institutions insistent sur </w:t>
      </w:r>
      <w:r w:rsidR="00C207EF" w:rsidRPr="00044C3F">
        <w:t>les termes de</w:t>
      </w:r>
      <w:r w:rsidR="00765929" w:rsidRPr="00044C3F">
        <w:t xml:space="preserve"> soins « respectueux » et « bienveillants » </w:t>
      </w:r>
      <w:r w:rsidR="007A4A80" w:rsidRPr="00044C3F">
        <w:t>afin de promo</w:t>
      </w:r>
      <w:r w:rsidR="00CD56CE" w:rsidRPr="00044C3F">
        <w:t>u</w:t>
      </w:r>
      <w:r w:rsidR="007A4A80" w:rsidRPr="00044C3F">
        <w:t xml:space="preserve">voir </w:t>
      </w:r>
      <w:r w:rsidR="00C207EF" w:rsidRPr="00044C3F">
        <w:t>une « expérience positive de l’accouchement »</w:t>
      </w:r>
      <w:r w:rsidR="006F57A7" w:rsidRPr="00E11A63">
        <w:rPr>
          <w:rStyle w:val="Appelnotedebasdep"/>
        </w:rPr>
        <w:footnoteReference w:id="15"/>
      </w:r>
      <w:r w:rsidR="006F57A7" w:rsidRPr="00044C3F">
        <w:t>.</w:t>
      </w:r>
    </w:p>
    <w:p w14:paraId="4D6257B4" w14:textId="77777777" w:rsidR="00ED51F3" w:rsidRPr="00637C40" w:rsidRDefault="00ED51F3" w:rsidP="004262E8">
      <w:pPr>
        <w:pStyle w:val="Soustitre1"/>
      </w:pPr>
      <w:bookmarkStart w:id="10" w:name="_Toc60939075"/>
      <w:r w:rsidRPr="00637C40">
        <w:t xml:space="preserve">Un contexte institutionnel </w:t>
      </w:r>
      <w:r w:rsidR="001507C3" w:rsidRPr="00637C40">
        <w:t>contribuant</w:t>
      </w:r>
      <w:r w:rsidR="00894B39" w:rsidRPr="00637C40">
        <w:t xml:space="preserve"> </w:t>
      </w:r>
      <w:r w:rsidR="009333B9" w:rsidRPr="00637C40">
        <w:t>à la survenue de violence</w:t>
      </w:r>
      <w:bookmarkEnd w:id="10"/>
    </w:p>
    <w:p w14:paraId="50CB7E7D" w14:textId="1279763A" w:rsidR="006E575F" w:rsidRDefault="00E05EC7" w:rsidP="008D05D2">
      <w:pPr>
        <w:jc w:val="both"/>
      </w:pPr>
      <w:r>
        <w:t>Les V</w:t>
      </w:r>
      <w:r w:rsidR="00894B39">
        <w:t>GO</w:t>
      </w:r>
      <w:r>
        <w:t xml:space="preserve"> s’inscrivent dans un contexte de pressurisation des systèmes de santé dans la majeure partie des pays du monde. Les mauvaises conditions de travail, l’absence de services et d’installations de qualité, l’absence de formations adéquates, la logique de rentabilité appliquée aux établissements de santé et les contraintes imposées aux professionnel</w:t>
      </w:r>
      <w:r w:rsidR="00C561AB">
        <w:t>.le</w:t>
      </w:r>
      <w:r>
        <w:t>s de santé sont des facteurs qui favorisent l’apparition des V</w:t>
      </w:r>
      <w:r w:rsidR="00F268A6">
        <w:t>GO</w:t>
      </w:r>
      <w:r>
        <w:t xml:space="preserve">. De la même façon, dans de nombreux pays, les conditions d’accouchement imposées aux femmes dans des salles communes où </w:t>
      </w:r>
      <w:r w:rsidR="00442A8A">
        <w:t>elles</w:t>
      </w:r>
      <w:r>
        <w:t xml:space="preserve"> accouchent sans intimité, sans accompagnant</w:t>
      </w:r>
      <w:r w:rsidR="00BA2C7E">
        <w:t>.</w:t>
      </w:r>
      <w:r>
        <w:t>e et sans prise en charge de leur douleur les placent dans un état de détresse</w:t>
      </w:r>
      <w:r w:rsidRPr="00E11A63">
        <w:rPr>
          <w:rStyle w:val="Appelnotedebasdep"/>
        </w:rPr>
        <w:footnoteReference w:id="16"/>
      </w:r>
      <w:r>
        <w:t>. Cette détresse des femmes et la pression institutionnelle exercée sur les soignant</w:t>
      </w:r>
      <w:r w:rsidR="00BA2C7E">
        <w:t>.e</w:t>
      </w:r>
      <w:r>
        <w:t>s conduisent parfois à une surmédicalisation de l’accouchement avec certaines pratiques (césarienne, épisiotomie) non médicalement justifiées</w:t>
      </w:r>
      <w:r w:rsidR="001A7190">
        <w:t xml:space="preserve"> et/ou réalisées sans consentement</w:t>
      </w:r>
      <w:r>
        <w:t>.</w:t>
      </w:r>
      <w:r w:rsidR="00ED51F3">
        <w:t xml:space="preserve"> </w:t>
      </w:r>
      <w:r w:rsidR="006E575F">
        <w:t xml:space="preserve">Ces dernières années, l’Organisation Mondiale de la Santé a multiplié les déclarations et les recommandations </w:t>
      </w:r>
      <w:r w:rsidR="00430BF6">
        <w:t xml:space="preserve">pour alerter sur les violences faites aux femmes au cours de leur accouchement </w:t>
      </w:r>
      <w:r w:rsidR="000E6397">
        <w:t>en institution de santé</w:t>
      </w:r>
      <w:r w:rsidR="00F95492" w:rsidRPr="00E11A63">
        <w:rPr>
          <w:rStyle w:val="Appelnotedebasdep"/>
        </w:rPr>
        <w:footnoteReference w:id="17"/>
      </w:r>
      <w:r w:rsidR="00B5772C">
        <w:t xml:space="preserve">. </w:t>
      </w:r>
    </w:p>
    <w:p w14:paraId="29C0630B" w14:textId="77777777" w:rsidR="00CB0FE9" w:rsidRPr="00CB0FE9" w:rsidRDefault="00325AEC" w:rsidP="00CB0FE9">
      <w:pPr>
        <w:spacing w:line="276" w:lineRule="auto"/>
        <w:jc w:val="both"/>
      </w:pPr>
      <w:r>
        <w:t>Depuis plus de quarante ans, d</w:t>
      </w:r>
      <w:r w:rsidR="00CB0FE9">
        <w:t>e nombreux pays se sont saisis de la question des violences basées sur le genre</w:t>
      </w:r>
      <w:r>
        <w:t xml:space="preserve"> </w:t>
      </w:r>
      <w:r w:rsidR="00CE2A01">
        <w:t>à travers</w:t>
      </w:r>
      <w:r>
        <w:t xml:space="preserve"> différents traités </w:t>
      </w:r>
      <w:r w:rsidR="00CB0FE9">
        <w:t>internationaux</w:t>
      </w:r>
      <w:r w:rsidR="00586B16" w:rsidRPr="00E11A63">
        <w:rPr>
          <w:rStyle w:val="Appelnotedebasdep"/>
        </w:rPr>
        <w:footnoteReference w:id="18"/>
      </w:r>
      <w:r w:rsidR="00CB0FE9">
        <w:t>.</w:t>
      </w:r>
      <w:r w:rsidR="00CE2A01">
        <w:t xml:space="preserve"> </w:t>
      </w:r>
      <w:r w:rsidR="00CB0FE9">
        <w:t xml:space="preserve">Cependant, ces engagements n’ont pas permis </w:t>
      </w:r>
      <w:r w:rsidR="00CB0FE9">
        <w:lastRenderedPageBreak/>
        <w:t xml:space="preserve">d’enrayer les </w:t>
      </w:r>
      <w:r w:rsidR="000D2A87">
        <w:t>VGO</w:t>
      </w:r>
      <w:r w:rsidR="0050526B">
        <w:t xml:space="preserve"> qui </w:t>
      </w:r>
      <w:r w:rsidR="00CB0FE9" w:rsidRPr="00CB0FE9">
        <w:t xml:space="preserve">ont longtemps été ignorées par les gouvernements et la communauté internationale. </w:t>
      </w:r>
    </w:p>
    <w:p w14:paraId="429576C1" w14:textId="77777777" w:rsidR="00CD7AE3" w:rsidRPr="00637C40" w:rsidRDefault="00CD7AE3" w:rsidP="004262E8">
      <w:pPr>
        <w:pStyle w:val="Soustitre1"/>
      </w:pPr>
      <w:bookmarkStart w:id="11" w:name="_Toc60939076"/>
      <w:r w:rsidRPr="00637C40">
        <w:t xml:space="preserve">Les conséquences des </w:t>
      </w:r>
      <w:r w:rsidR="004B0FB4" w:rsidRPr="00637C40">
        <w:t>violences gynécologiques et obstétricales</w:t>
      </w:r>
      <w:bookmarkEnd w:id="11"/>
    </w:p>
    <w:p w14:paraId="7AF998EF" w14:textId="4846D5D7" w:rsidR="008D05D2" w:rsidRDefault="008D05D2" w:rsidP="004F3391">
      <w:pPr>
        <w:jc w:val="both"/>
      </w:pPr>
      <w:r>
        <w:t xml:space="preserve">Les </w:t>
      </w:r>
      <w:r w:rsidR="00812B3A">
        <w:t xml:space="preserve">VGO peuvent avoir des </w:t>
      </w:r>
      <w:r>
        <w:t xml:space="preserve">conséquences </w:t>
      </w:r>
      <w:r w:rsidR="00812B3A">
        <w:t>à court et à long terme</w:t>
      </w:r>
      <w:r w:rsidR="001B427C">
        <w:t xml:space="preserve"> sur les femmes et leur famille. Elles peuvent avoir</w:t>
      </w:r>
      <w:r w:rsidR="005021F7">
        <w:t xml:space="preserve"> notamment des conséquence</w:t>
      </w:r>
      <w:r w:rsidR="00486FE4">
        <w:t>s</w:t>
      </w:r>
      <w:r w:rsidR="005021F7">
        <w:t xml:space="preserve"> psychiques</w:t>
      </w:r>
      <w:r w:rsidR="001B427C">
        <w:t xml:space="preserve"> </w:t>
      </w:r>
      <w:r w:rsidR="00972C54">
        <w:t>(</w:t>
      </w:r>
      <w:r w:rsidR="001B427C">
        <w:t xml:space="preserve">avec un </w:t>
      </w:r>
      <w:r w:rsidR="005021F7">
        <w:t xml:space="preserve">sentiment de culpabilité, </w:t>
      </w:r>
      <w:r w:rsidR="001B427C">
        <w:t xml:space="preserve">une </w:t>
      </w:r>
      <w:r w:rsidR="005C6684">
        <w:t xml:space="preserve">perte de l’estime de soi, </w:t>
      </w:r>
      <w:r w:rsidR="001B427C">
        <w:t xml:space="preserve">et/ou </w:t>
      </w:r>
      <w:r w:rsidR="002476D9">
        <w:t xml:space="preserve">entrainer un </w:t>
      </w:r>
      <w:r w:rsidR="005C6684">
        <w:t xml:space="preserve">état de stress post-traumatique) </w:t>
      </w:r>
      <w:r w:rsidR="00D60139">
        <w:t xml:space="preserve">et physiques. </w:t>
      </w:r>
      <w:r w:rsidR="00010EDD">
        <w:t xml:space="preserve">Elles peuvent </w:t>
      </w:r>
      <w:r w:rsidR="002476D9">
        <w:t xml:space="preserve">aussi </w:t>
      </w:r>
      <w:r w:rsidR="00010EDD">
        <w:t xml:space="preserve">avoir </w:t>
      </w:r>
      <w:r w:rsidR="000F0D5D">
        <w:t xml:space="preserve">des conséquences sur le suivi gynécologique et obstétrical, voir médical en général </w:t>
      </w:r>
      <w:r w:rsidR="0095758F">
        <w:t xml:space="preserve">pouvant </w:t>
      </w:r>
      <w:r w:rsidR="002476D9">
        <w:t xml:space="preserve">conduire </w:t>
      </w:r>
      <w:r w:rsidR="007B5FA7">
        <w:t xml:space="preserve">certaines femmes </w:t>
      </w:r>
      <w:r w:rsidR="0095758F">
        <w:t>à</w:t>
      </w:r>
      <w:r w:rsidR="00E4397B">
        <w:t xml:space="preserve"> renoncer au recours aux soins, voir à </w:t>
      </w:r>
      <w:r w:rsidR="007B5FA7">
        <w:t xml:space="preserve">une </w:t>
      </w:r>
      <w:r w:rsidR="0095758F">
        <w:t>errance médicale</w:t>
      </w:r>
      <w:r w:rsidR="005C79EE" w:rsidRPr="00E11A63">
        <w:rPr>
          <w:rStyle w:val="Appelnotedebasdep"/>
        </w:rPr>
        <w:footnoteReference w:id="19"/>
      </w:r>
      <w:r w:rsidR="00FF64DE" w:rsidRPr="00651E2E">
        <w:t xml:space="preserve">. </w:t>
      </w:r>
      <w:r w:rsidR="00FF64DE">
        <w:t xml:space="preserve">Une recherche menée au Sénégal a montré par exemple que lorsqu’une femme a été soumise à </w:t>
      </w:r>
      <w:r w:rsidR="00BE3CA7">
        <w:t xml:space="preserve">des mauvais traitements </w:t>
      </w:r>
      <w:r w:rsidR="00FF64DE">
        <w:t>lors d’un accouchement en institution de santé, elle accouche plus souvent à domicile pour son prochain accouchement</w:t>
      </w:r>
      <w:r w:rsidR="002775B9" w:rsidRPr="00E11A63">
        <w:rPr>
          <w:rStyle w:val="Appelnotedebasdep"/>
        </w:rPr>
        <w:footnoteReference w:id="20"/>
      </w:r>
      <w:r w:rsidR="00FF64DE">
        <w:t xml:space="preserve">. </w:t>
      </w:r>
      <w:r w:rsidR="00297696">
        <w:rPr>
          <w:rFonts w:cstheme="minorHAnsi"/>
        </w:rPr>
        <w:t>De la même façon, les</w:t>
      </w:r>
      <w:r w:rsidR="00FF64DE" w:rsidRPr="008D32A3">
        <w:rPr>
          <w:rFonts w:cstheme="minorHAnsi"/>
        </w:rPr>
        <w:t xml:space="preserve"> femmes savent que</w:t>
      </w:r>
      <w:r w:rsidR="00297696">
        <w:rPr>
          <w:rFonts w:cstheme="minorHAnsi"/>
        </w:rPr>
        <w:t xml:space="preserve"> certaines positions comme</w:t>
      </w:r>
      <w:r w:rsidR="00FF64DE" w:rsidRPr="008D32A3">
        <w:rPr>
          <w:rFonts w:cstheme="minorHAnsi"/>
        </w:rPr>
        <w:t xml:space="preserve"> la position allongée</w:t>
      </w:r>
      <w:r w:rsidR="00377502">
        <w:rPr>
          <w:rFonts w:cstheme="minorHAnsi"/>
        </w:rPr>
        <w:t>/gynécologique</w:t>
      </w:r>
      <w:r w:rsidR="00FF64DE" w:rsidRPr="008D32A3">
        <w:rPr>
          <w:rFonts w:cstheme="minorHAnsi"/>
        </w:rPr>
        <w:t xml:space="preserve"> </w:t>
      </w:r>
      <w:r w:rsidR="00297696">
        <w:rPr>
          <w:rFonts w:cstheme="minorHAnsi"/>
        </w:rPr>
        <w:t>leur sont</w:t>
      </w:r>
      <w:r w:rsidR="00FF64DE" w:rsidRPr="008D32A3">
        <w:rPr>
          <w:rFonts w:cstheme="minorHAnsi"/>
        </w:rPr>
        <w:t xml:space="preserve"> imposée</w:t>
      </w:r>
      <w:r w:rsidR="00297696">
        <w:rPr>
          <w:rFonts w:cstheme="minorHAnsi"/>
        </w:rPr>
        <w:t>s</w:t>
      </w:r>
      <w:r w:rsidR="00FF64DE" w:rsidRPr="008D32A3">
        <w:rPr>
          <w:rFonts w:cstheme="minorHAnsi"/>
        </w:rPr>
        <w:t xml:space="preserve"> dans les centres de santé</w:t>
      </w:r>
      <w:r w:rsidR="00FF64DE">
        <w:rPr>
          <w:rFonts w:cstheme="minorHAnsi"/>
        </w:rPr>
        <w:t xml:space="preserve"> </w:t>
      </w:r>
      <w:r w:rsidR="00FF64DE" w:rsidRPr="008D32A3">
        <w:rPr>
          <w:rFonts w:cstheme="minorHAnsi"/>
        </w:rPr>
        <w:t>et c’est une des raisons pour lesquelles certaines d’entre elles préfèrent accoucher à domicile</w:t>
      </w:r>
      <w:r w:rsidR="00FF64DE" w:rsidRPr="00E11A63">
        <w:rPr>
          <w:rStyle w:val="Appelnotedebasdep"/>
        </w:rPr>
        <w:footnoteReference w:id="21"/>
      </w:r>
      <w:r w:rsidR="0095758F">
        <w:t xml:space="preserve">. </w:t>
      </w:r>
      <w:r w:rsidR="006064DE">
        <w:t>Enfin, les</w:t>
      </w:r>
      <w:r>
        <w:t xml:space="preserve"> VG</w:t>
      </w:r>
      <w:r w:rsidR="001905D4">
        <w:t>O</w:t>
      </w:r>
      <w:r>
        <w:t xml:space="preserve"> ont aussi un impact sur la vie </w:t>
      </w:r>
      <w:r w:rsidR="007E138B">
        <w:t xml:space="preserve">professionnelle, </w:t>
      </w:r>
      <w:r>
        <w:t>familiale</w:t>
      </w:r>
      <w:r w:rsidR="00A50281">
        <w:t xml:space="preserve"> et sur les relations</w:t>
      </w:r>
      <w:r>
        <w:t xml:space="preserve"> </w:t>
      </w:r>
      <w:r w:rsidR="007E138B">
        <w:t xml:space="preserve">affectives </w:t>
      </w:r>
      <w:r>
        <w:t xml:space="preserve">et </w:t>
      </w:r>
      <w:r w:rsidR="00A50281">
        <w:t xml:space="preserve">sexuelles </w:t>
      </w:r>
      <w:r>
        <w:t>des femmes</w:t>
      </w:r>
      <w:r w:rsidR="00A94175">
        <w:t xml:space="preserve"> </w:t>
      </w:r>
      <w:r w:rsidR="00BE3CA7">
        <w:t xml:space="preserve">avec par exemple une possible </w:t>
      </w:r>
      <w:r w:rsidR="006A1AC9">
        <w:t xml:space="preserve">altération de la relation de couple, </w:t>
      </w:r>
      <w:r w:rsidR="00BE3CA7">
        <w:t xml:space="preserve">une possible </w:t>
      </w:r>
      <w:r w:rsidR="00AD14CA">
        <w:t xml:space="preserve">altération ou </w:t>
      </w:r>
      <w:r w:rsidR="00BE3CA7">
        <w:t xml:space="preserve">un </w:t>
      </w:r>
      <w:r w:rsidR="00AD14CA">
        <w:t xml:space="preserve">arrêt de la vie sexuelle, </w:t>
      </w:r>
      <w:r w:rsidR="00BE3CA7">
        <w:t xml:space="preserve">et/ ou une </w:t>
      </w:r>
      <w:r w:rsidR="00AD14CA">
        <w:t>dégradation de la relation avec l’enfant</w:t>
      </w:r>
      <w:r w:rsidR="005C79EE" w:rsidRPr="00E11A63">
        <w:rPr>
          <w:rStyle w:val="Appelnotedebasdep"/>
        </w:rPr>
        <w:footnoteReference w:id="22"/>
      </w:r>
      <w:r>
        <w:t>.</w:t>
      </w:r>
    </w:p>
    <w:p w14:paraId="546D0C53" w14:textId="6AB8A2B4" w:rsidR="00B15589" w:rsidRDefault="00B15589" w:rsidP="004F3391">
      <w:pPr>
        <w:jc w:val="both"/>
      </w:pPr>
      <w:r>
        <w:t xml:space="preserve">Ainsi, les VGO ont des conséquences </w:t>
      </w:r>
      <w:r w:rsidR="008B1A2A">
        <w:t xml:space="preserve">psychiques et physiques </w:t>
      </w:r>
      <w:r>
        <w:t>directes sur les femmes</w:t>
      </w:r>
      <w:r w:rsidR="008B1A2A">
        <w:t xml:space="preserve"> et</w:t>
      </w:r>
      <w:r w:rsidR="00461D9C">
        <w:t xml:space="preserve"> leur famil</w:t>
      </w:r>
      <w:r w:rsidR="004D56B6">
        <w:t>le. E</w:t>
      </w:r>
      <w:r w:rsidR="00455936">
        <w:t>lles</w:t>
      </w:r>
      <w:r w:rsidR="00461D9C">
        <w:t xml:space="preserve"> ont aussi des conséquences indirectes </w:t>
      </w:r>
      <w:r w:rsidR="00455936">
        <w:t xml:space="preserve">en </w:t>
      </w:r>
      <w:r w:rsidR="004D56B6">
        <w:t>conduisant</w:t>
      </w:r>
      <w:r w:rsidR="00461D9C">
        <w:t xml:space="preserve"> </w:t>
      </w:r>
      <w:r w:rsidR="004D56B6">
        <w:t xml:space="preserve">parfois à </w:t>
      </w:r>
      <w:r w:rsidR="00461D9C">
        <w:t xml:space="preserve">une non-utilisation des services de santé </w:t>
      </w:r>
      <w:r w:rsidR="00455936">
        <w:t xml:space="preserve">par certaines femmes qui redoutent </w:t>
      </w:r>
      <w:r w:rsidR="00AA3FE8">
        <w:t xml:space="preserve">d’être confrontées à ces violences. </w:t>
      </w:r>
      <w:r w:rsidR="00D0784E">
        <w:t xml:space="preserve">Ces violences contribuent </w:t>
      </w:r>
      <w:r w:rsidR="00396F45">
        <w:t xml:space="preserve">ainsi </w:t>
      </w:r>
      <w:r w:rsidR="00D0784E">
        <w:t>au fait qu’e</w:t>
      </w:r>
      <w:r w:rsidR="00AA3FE8">
        <w:t xml:space="preserve">n </w:t>
      </w:r>
      <w:r w:rsidR="00A0798B">
        <w:t>Afrique subsaharienne</w:t>
      </w:r>
      <w:r w:rsidR="00AA3FE8">
        <w:t xml:space="preserve">, </w:t>
      </w:r>
      <w:r w:rsidR="00A0798B">
        <w:t>près d’une femme</w:t>
      </w:r>
      <w:r w:rsidR="001A7190">
        <w:t xml:space="preserve"> sur deux</w:t>
      </w:r>
      <w:r w:rsidR="00A0798B">
        <w:t xml:space="preserve"> accouche sans l’assistance d’un personnel de santé</w:t>
      </w:r>
      <w:r w:rsidR="00D0784E" w:rsidRPr="00E11A63">
        <w:rPr>
          <w:rStyle w:val="Appelnotedebasdep"/>
        </w:rPr>
        <w:footnoteReference w:id="23"/>
      </w:r>
      <w:r w:rsidR="00AE10AD">
        <w:t xml:space="preserve"> et donc indirectement aux taux élevés de mortalité maternelle et infantile.</w:t>
      </w:r>
      <w:r w:rsidR="008B5428">
        <w:t xml:space="preserve"> De la même façon, le suivi gynécologique </w:t>
      </w:r>
      <w:r w:rsidR="0088029A">
        <w:t xml:space="preserve">des femmes en institution </w:t>
      </w:r>
      <w:r w:rsidR="00861969">
        <w:t xml:space="preserve">de santé </w:t>
      </w:r>
      <w:r w:rsidR="0088029A">
        <w:t xml:space="preserve">est faible dans ces pays et </w:t>
      </w:r>
      <w:r w:rsidR="00956FB1">
        <w:t>il est possible</w:t>
      </w:r>
      <w:r w:rsidR="0088029A">
        <w:t xml:space="preserve"> que les violences subies par les femmes constituent une des raisons de ce faible recours.</w:t>
      </w:r>
    </w:p>
    <w:p w14:paraId="767E9D99" w14:textId="77777777" w:rsidR="00CB0FE9" w:rsidRPr="00637C40" w:rsidRDefault="004F3391" w:rsidP="004262E8">
      <w:pPr>
        <w:pStyle w:val="Soustitre1"/>
      </w:pPr>
      <w:bookmarkStart w:id="12" w:name="_Toc26784628"/>
      <w:bookmarkStart w:id="13" w:name="_Toc32229534"/>
      <w:bookmarkStart w:id="14" w:name="_Toc60939077"/>
      <w:r w:rsidRPr="00637C40">
        <w:t xml:space="preserve">L’intervention de l’AFD en appui aux </w:t>
      </w:r>
      <w:bookmarkEnd w:id="12"/>
      <w:bookmarkEnd w:id="13"/>
      <w:r w:rsidR="006E7625" w:rsidRPr="00637C40">
        <w:t>violences gynécologiques et obstétricales</w:t>
      </w:r>
      <w:bookmarkEnd w:id="14"/>
      <w:r w:rsidR="006E7625" w:rsidRPr="00637C40">
        <w:t xml:space="preserve"> </w:t>
      </w:r>
    </w:p>
    <w:p w14:paraId="7270E16D" w14:textId="3A865054" w:rsidR="00CB0FE9" w:rsidRDefault="00CB0FE9" w:rsidP="00CB0FE9">
      <w:pPr>
        <w:spacing w:line="276" w:lineRule="auto"/>
        <w:jc w:val="both"/>
      </w:pPr>
      <w:r w:rsidRPr="00CB0FE9">
        <w:t xml:space="preserve">La France, depuis 2018, s’est engagée dans </w:t>
      </w:r>
      <w:r w:rsidR="00AE52D0">
        <w:t>une s</w:t>
      </w:r>
      <w:r w:rsidRPr="00CB0FE9">
        <w:t>tratégie internationale pour l’égalité entre les femmes et les hommes 2018-2022. La diplomatie française défend l’égalité entre les femmes et les hommes, l’accès de celles et ceux-ci aux mêmes droits et aux mêmes libertés, notamment le droit de disposer de son corps, dans toutes les sphères de la vie et dans tous les domaines de la société. Elle s’est fixée comme ambition la mise en œuvre d’une politique de développement pour atteindre l’ODD n°5 en 2030 « Parvenir à l’égalité des sexes et autonomiser toutes les femmes et les filles ».</w:t>
      </w:r>
      <w:r>
        <w:t xml:space="preserve"> </w:t>
      </w:r>
    </w:p>
    <w:p w14:paraId="6F8513B2" w14:textId="36E3BFA0" w:rsidR="00CB0FE9" w:rsidRDefault="00CB0FE9" w:rsidP="00CB0FE9">
      <w:pPr>
        <w:spacing w:line="276" w:lineRule="auto"/>
        <w:jc w:val="both"/>
      </w:pPr>
      <w:r>
        <w:lastRenderedPageBreak/>
        <w:t>L’AFD est mobilisée depuis plusieurs années sur ces enjeux ; elle s’est dotée depuis 2014 d’un Cadre d’</w:t>
      </w:r>
      <w:r w:rsidR="008E3103">
        <w:t>I</w:t>
      </w:r>
      <w:r>
        <w:t xml:space="preserve">ntervention </w:t>
      </w:r>
      <w:r w:rsidR="008E3103">
        <w:t>T</w:t>
      </w:r>
      <w:r>
        <w:t>ransversal pour la réduction des inégalités entre les femmes et les hommes (CIT Genre 2014-2017). Tenant compte de la dynamique lancée par le CIT genre, un deuxième Plan d’action égalité femmes-hommes (2019-2022) a été mis en place, portant une plus grande ambition en matière de prise en compte du genre dans les opérations de l’AFD en cohérence avec le Plan d’Orientation Stratégique de l’AFD (POS 2018-2022), qui place l’égalité femmes-hommes en tant que socle fondamental de l’engagement « 100% lien social » de l’AFD. Dans cette perspective, l’AFD s’est fixée des priorités d’intervention qui s’articulent autour notamment de la lutte contre les violences basées sur le genre (VBG).</w:t>
      </w:r>
    </w:p>
    <w:p w14:paraId="5F5192AA" w14:textId="5A3B4101" w:rsidR="00CB0FE9" w:rsidRPr="00CB0FE9" w:rsidRDefault="00CB0FE9" w:rsidP="008D05D2">
      <w:pPr>
        <w:spacing w:line="276" w:lineRule="auto"/>
        <w:jc w:val="both"/>
      </w:pPr>
      <w:r>
        <w:t>Ces dernières années, l’AFD a financé de nombreux projets de lutte contre les violence</w:t>
      </w:r>
      <w:r w:rsidR="009013C7">
        <w:t>s basées sur le genre</w:t>
      </w:r>
      <w:r>
        <w:t xml:space="preserve">. Cependant, les </w:t>
      </w:r>
      <w:r w:rsidR="00377285">
        <w:t xml:space="preserve">VGO constituent </w:t>
      </w:r>
      <w:r>
        <w:t>un sujet peu traité par l’AFD et par les bailleurs en règle général</w:t>
      </w:r>
      <w:r w:rsidR="001905D4">
        <w:t>e</w:t>
      </w:r>
      <w:r>
        <w:t xml:space="preserve">.  </w:t>
      </w:r>
    </w:p>
    <w:p w14:paraId="57747F77" w14:textId="77777777" w:rsidR="00AC0568" w:rsidRPr="00E22CB5" w:rsidRDefault="008D05D2" w:rsidP="00C9787C">
      <w:pPr>
        <w:jc w:val="both"/>
      </w:pPr>
      <w:r w:rsidRPr="00E22CB5">
        <w:t xml:space="preserve">Dans ce contexte, l’AFD </w:t>
      </w:r>
      <w:r w:rsidR="00CB0FE9">
        <w:t>a décidé de s’emparer du sujet en proposant</w:t>
      </w:r>
      <w:r w:rsidR="00AC0568" w:rsidRPr="00E22CB5">
        <w:t xml:space="preserve"> une FISONG </w:t>
      </w:r>
      <w:r w:rsidR="00CB0FE9">
        <w:t>dont le but est</w:t>
      </w:r>
      <w:r w:rsidR="00AC0568" w:rsidRPr="00E22CB5">
        <w:t xml:space="preserve"> de </w:t>
      </w:r>
      <w:r w:rsidR="00E22CB5">
        <w:t>promouvoir</w:t>
      </w:r>
      <w:r w:rsidR="00AC0568" w:rsidRPr="00E22CB5">
        <w:t xml:space="preserve"> des projets innovants qui pourraient </w:t>
      </w:r>
      <w:r w:rsidR="00E22CB5">
        <w:t xml:space="preserve">amorcer un travail dans le domaine des </w:t>
      </w:r>
      <w:r w:rsidR="004A46D7">
        <w:t xml:space="preserve">VGO </w:t>
      </w:r>
      <w:r w:rsidR="00E22CB5">
        <w:t xml:space="preserve">et </w:t>
      </w:r>
      <w:r w:rsidR="00AC0568" w:rsidRPr="00E22CB5">
        <w:t>contribuer à l’amélioration des conditions de prises en charge des femmes lors des suivis obstétri</w:t>
      </w:r>
      <w:r w:rsidR="004A46D7">
        <w:t>caux</w:t>
      </w:r>
      <w:r w:rsidR="00AC0568" w:rsidRPr="00E22CB5">
        <w:t xml:space="preserve"> et/ou gynécologiques. </w:t>
      </w:r>
    </w:p>
    <w:p w14:paraId="2B4ACDCD" w14:textId="45677AFB" w:rsidR="008D05D2" w:rsidRPr="004262E8" w:rsidRDefault="004262E8" w:rsidP="004262E8">
      <w:pPr>
        <w:pStyle w:val="Soustitre1"/>
      </w:pPr>
      <w:bookmarkStart w:id="15" w:name="_Toc60939078"/>
      <w:r w:rsidRPr="004262E8">
        <w:t>Le rôle des ONG dans la lutte contre les VGO</w:t>
      </w:r>
      <w:bookmarkEnd w:id="15"/>
      <w:r w:rsidRPr="004262E8">
        <w:t xml:space="preserve"> </w:t>
      </w:r>
    </w:p>
    <w:p w14:paraId="311DB95E" w14:textId="5CD420E1" w:rsidR="009C3823" w:rsidRDefault="00AC0568" w:rsidP="00C9787C">
      <w:pPr>
        <w:jc w:val="both"/>
      </w:pPr>
      <w:r>
        <w:t xml:space="preserve">Les ONG et la société civile </w:t>
      </w:r>
      <w:r w:rsidRPr="009B5389">
        <w:t xml:space="preserve">ont </w:t>
      </w:r>
      <w:r>
        <w:t>de nombreuses expériences d’</w:t>
      </w:r>
      <w:r w:rsidRPr="009B5389">
        <w:t>actions de terrain ainsi qu</w:t>
      </w:r>
      <w:r>
        <w:t xml:space="preserve">e de </w:t>
      </w:r>
      <w:r w:rsidRPr="009B5389">
        <w:t>dialogue</w:t>
      </w:r>
      <w:r>
        <w:t>s</w:t>
      </w:r>
      <w:r w:rsidRPr="009B5389">
        <w:t xml:space="preserve"> avec les autorités publiques</w:t>
      </w:r>
      <w:r>
        <w:t xml:space="preserve"> sur les sujets liés</w:t>
      </w:r>
      <w:r w:rsidR="009C3823">
        <w:t xml:space="preserve"> à la santé des mères et notamment à la qualité des soins et aux formations</w:t>
      </w:r>
      <w:r w:rsidR="00BA366D">
        <w:t xml:space="preserve"> du personnel soignant</w:t>
      </w:r>
      <w:r w:rsidR="009C3823">
        <w:t xml:space="preserve">. </w:t>
      </w:r>
    </w:p>
    <w:p w14:paraId="1C111276" w14:textId="79F65181" w:rsidR="0075507E" w:rsidRDefault="00F908AD" w:rsidP="00C9787C">
      <w:pPr>
        <w:jc w:val="both"/>
      </w:pPr>
      <w:r>
        <w:t>Quelques</w:t>
      </w:r>
      <w:r w:rsidR="009C3823">
        <w:t xml:space="preserve"> ONG se sont emparées du sujet des violences obstétricales. Néanmoins, les projets proposés ne remettent pas toujours en cause les violences subies par les femmes en les associant à des violences de genre</w:t>
      </w:r>
      <w:r w:rsidR="0075507E">
        <w:t xml:space="preserve"> et aux rapports sociaux inégaux qui s’effectuent sur le corps des femmes. </w:t>
      </w:r>
    </w:p>
    <w:p w14:paraId="63998A64" w14:textId="7AA913A9" w:rsidR="00171430" w:rsidRPr="00D13019" w:rsidRDefault="00171430" w:rsidP="005A545F">
      <w:pPr>
        <w:jc w:val="both"/>
      </w:pPr>
      <w:r w:rsidRPr="00D13019">
        <w:t xml:space="preserve">L’AFD souhaite mobiliser la capacité d’innovation des ONG </w:t>
      </w:r>
      <w:r>
        <w:t xml:space="preserve">afin </w:t>
      </w:r>
      <w:r w:rsidR="00A85F1F" w:rsidRPr="00A356C6">
        <w:t>que celles-ci</w:t>
      </w:r>
      <w:r w:rsidRPr="00A356C6">
        <w:t xml:space="preserve"> </w:t>
      </w:r>
      <w:r w:rsidR="006860E2" w:rsidRPr="00A356C6">
        <w:t xml:space="preserve">réfléchissent à des actions et </w:t>
      </w:r>
      <w:r w:rsidR="0058699B" w:rsidRPr="00A356C6">
        <w:t>propose</w:t>
      </w:r>
      <w:r w:rsidR="00A85F1F" w:rsidRPr="00A356C6">
        <w:t>nt</w:t>
      </w:r>
      <w:r w:rsidR="0058699B" w:rsidRPr="00A356C6">
        <w:t xml:space="preserve"> </w:t>
      </w:r>
      <w:r w:rsidR="00BA366D" w:rsidRPr="00A356C6">
        <w:t xml:space="preserve">des solutions pour lutter contre les VGO </w:t>
      </w:r>
      <w:r w:rsidR="00A85F1F" w:rsidRPr="00A356C6">
        <w:t>en les considérant comme des rapports de pouvoir et de contrôle du corps des femmes par la société.</w:t>
      </w:r>
      <w:r w:rsidR="00A85F1F">
        <w:t xml:space="preserve"> </w:t>
      </w:r>
    </w:p>
    <w:p w14:paraId="1F5CC201" w14:textId="62274BF0" w:rsidR="00171430" w:rsidRPr="00637C40" w:rsidRDefault="00C62EEC" w:rsidP="00637C40">
      <w:pPr>
        <w:pStyle w:val="Grandtitre"/>
      </w:pPr>
      <w:bookmarkStart w:id="16" w:name="_Toc59094191"/>
      <w:bookmarkStart w:id="17" w:name="_Toc59094248"/>
      <w:bookmarkStart w:id="18" w:name="_Toc60939079"/>
      <w:r w:rsidRPr="00171430">
        <w:t>Orientations De L’appel A Propositions</w:t>
      </w:r>
      <w:bookmarkEnd w:id="16"/>
      <w:bookmarkEnd w:id="17"/>
      <w:bookmarkEnd w:id="18"/>
    </w:p>
    <w:p w14:paraId="23FFCC47" w14:textId="77777777" w:rsidR="00637C40" w:rsidRPr="00637C40" w:rsidRDefault="00637C40" w:rsidP="00BF6A65">
      <w:pPr>
        <w:pStyle w:val="Paragraphedeliste"/>
        <w:numPr>
          <w:ilvl w:val="0"/>
          <w:numId w:val="7"/>
        </w:numPr>
        <w:spacing w:line="276" w:lineRule="auto"/>
        <w:jc w:val="both"/>
        <w:rPr>
          <w:b/>
          <w:vanish/>
          <w:u w:val="single"/>
        </w:rPr>
      </w:pPr>
    </w:p>
    <w:p w14:paraId="448B6333" w14:textId="63393053" w:rsidR="00171430" w:rsidRPr="00637C40" w:rsidRDefault="00171430" w:rsidP="004262E8">
      <w:pPr>
        <w:pStyle w:val="Soustitre1"/>
      </w:pPr>
      <w:bookmarkStart w:id="19" w:name="_Toc60939080"/>
      <w:r w:rsidRPr="00637C40">
        <w:t>Finalité</w:t>
      </w:r>
      <w:bookmarkEnd w:id="19"/>
      <w:r w:rsidRPr="00637C40">
        <w:t xml:space="preserve"> </w:t>
      </w:r>
    </w:p>
    <w:p w14:paraId="38DA58F3" w14:textId="3865A3E3" w:rsidR="0079771D" w:rsidRPr="004B579D" w:rsidRDefault="00171430" w:rsidP="00736940">
      <w:pPr>
        <w:jc w:val="both"/>
        <w:rPr>
          <w:b/>
          <w:color w:val="000000"/>
        </w:rPr>
      </w:pPr>
      <w:r w:rsidRPr="00D13019">
        <w:rPr>
          <w:b/>
          <w:color w:val="000000"/>
        </w:rPr>
        <w:t>La finalité de la FISONG</w:t>
      </w:r>
      <w:r>
        <w:rPr>
          <w:b/>
          <w:color w:val="000000"/>
        </w:rPr>
        <w:t xml:space="preserve"> « </w:t>
      </w:r>
      <w:r w:rsidRPr="00CB0FE9">
        <w:rPr>
          <w:b/>
          <w:color w:val="000000"/>
        </w:rPr>
        <w:t xml:space="preserve">Lutte contre les violences </w:t>
      </w:r>
      <w:r w:rsidRPr="00A356C6">
        <w:rPr>
          <w:b/>
          <w:color w:val="000000"/>
        </w:rPr>
        <w:t xml:space="preserve">gynécologiques et obstétricales » est d’appuyer </w:t>
      </w:r>
      <w:r w:rsidR="00BE2E16" w:rsidRPr="00A356C6">
        <w:rPr>
          <w:b/>
          <w:color w:val="000000"/>
        </w:rPr>
        <w:t>l’</w:t>
      </w:r>
      <w:r w:rsidR="00211D5B">
        <w:rPr>
          <w:b/>
          <w:color w:val="000000"/>
        </w:rPr>
        <w:t>é</w:t>
      </w:r>
      <w:r w:rsidR="00BE2E16" w:rsidRPr="00A356C6">
        <w:rPr>
          <w:b/>
          <w:color w:val="000000"/>
        </w:rPr>
        <w:t xml:space="preserve">mergence et le développement de projets et de pratiques </w:t>
      </w:r>
      <w:r w:rsidRPr="00A356C6">
        <w:rPr>
          <w:b/>
          <w:color w:val="000000"/>
        </w:rPr>
        <w:t xml:space="preserve">visant à </w:t>
      </w:r>
      <w:r w:rsidR="00CB0FE9" w:rsidRPr="00A356C6">
        <w:rPr>
          <w:b/>
          <w:color w:val="000000"/>
        </w:rPr>
        <w:t>promouvoir les soins bien</w:t>
      </w:r>
      <w:r w:rsidR="005A545F" w:rsidRPr="00A356C6">
        <w:rPr>
          <w:b/>
          <w:color w:val="000000"/>
        </w:rPr>
        <w:t>traitants</w:t>
      </w:r>
      <w:r w:rsidR="00CB0FE9" w:rsidRPr="00A356C6">
        <w:rPr>
          <w:b/>
          <w:color w:val="000000"/>
        </w:rPr>
        <w:t xml:space="preserve"> et respectueux </w:t>
      </w:r>
      <w:r w:rsidR="00BE2E16" w:rsidRPr="00A356C6">
        <w:rPr>
          <w:b/>
          <w:color w:val="000000"/>
        </w:rPr>
        <w:t>afin de</w:t>
      </w:r>
      <w:r w:rsidR="00CB0FE9" w:rsidRPr="00A356C6">
        <w:rPr>
          <w:b/>
          <w:color w:val="000000"/>
        </w:rPr>
        <w:t xml:space="preserve"> </w:t>
      </w:r>
      <w:r w:rsidRPr="00A356C6">
        <w:rPr>
          <w:b/>
          <w:color w:val="000000"/>
        </w:rPr>
        <w:t>réduire les violences gynécologiques</w:t>
      </w:r>
      <w:r>
        <w:rPr>
          <w:b/>
          <w:color w:val="000000"/>
        </w:rPr>
        <w:t xml:space="preserve"> et obstétricales</w:t>
      </w:r>
      <w:r w:rsidRPr="00BC1A65">
        <w:rPr>
          <w:b/>
          <w:color w:val="000000"/>
        </w:rPr>
        <w:t xml:space="preserve">. </w:t>
      </w:r>
      <w:r w:rsidR="0022558A" w:rsidRPr="00492818">
        <w:rPr>
          <w:color w:val="000000"/>
        </w:rPr>
        <w:t xml:space="preserve">Plus largement, </w:t>
      </w:r>
      <w:r w:rsidR="00373767" w:rsidRPr="00492818">
        <w:rPr>
          <w:color w:val="000000"/>
        </w:rPr>
        <w:t xml:space="preserve">cette FISONG </w:t>
      </w:r>
      <w:r w:rsidR="0088176D" w:rsidRPr="00492818">
        <w:rPr>
          <w:color w:val="000000"/>
        </w:rPr>
        <w:t>financera</w:t>
      </w:r>
      <w:r w:rsidR="00373767" w:rsidRPr="00492818">
        <w:rPr>
          <w:color w:val="000000"/>
        </w:rPr>
        <w:t xml:space="preserve"> des projets </w:t>
      </w:r>
      <w:r w:rsidR="0088176D" w:rsidRPr="00492818">
        <w:rPr>
          <w:color w:val="000000"/>
        </w:rPr>
        <w:t>qui lutteront</w:t>
      </w:r>
      <w:r w:rsidR="00373767" w:rsidRPr="00492818">
        <w:rPr>
          <w:color w:val="000000"/>
        </w:rPr>
        <w:t xml:space="preserve"> durablement </w:t>
      </w:r>
      <w:r w:rsidR="000D41E2" w:rsidRPr="00492818">
        <w:rPr>
          <w:color w:val="000000"/>
        </w:rPr>
        <w:t xml:space="preserve">contre </w:t>
      </w:r>
      <w:r w:rsidR="009535A1" w:rsidRPr="00492818">
        <w:rPr>
          <w:color w:val="000000"/>
        </w:rPr>
        <w:t xml:space="preserve">les </w:t>
      </w:r>
      <w:r w:rsidR="00BC1A65" w:rsidRPr="00492818">
        <w:rPr>
          <w:color w:val="000000"/>
        </w:rPr>
        <w:t xml:space="preserve">facteurs </w:t>
      </w:r>
      <w:r w:rsidR="00F55B1C" w:rsidRPr="00492818">
        <w:rPr>
          <w:color w:val="000000"/>
        </w:rPr>
        <w:t xml:space="preserve">favorisant </w:t>
      </w:r>
      <w:r w:rsidR="00FF788A" w:rsidRPr="00492818">
        <w:rPr>
          <w:color w:val="000000"/>
        </w:rPr>
        <w:t>la survenue</w:t>
      </w:r>
      <w:r w:rsidR="009535A1" w:rsidRPr="00492818">
        <w:rPr>
          <w:color w:val="000000"/>
        </w:rPr>
        <w:t xml:space="preserve"> de ces violences. </w:t>
      </w:r>
    </w:p>
    <w:p w14:paraId="58B7105E" w14:textId="27606A4A" w:rsidR="00E42BD1" w:rsidRDefault="006E2AC9" w:rsidP="00736940">
      <w:pPr>
        <w:jc w:val="both"/>
      </w:pPr>
      <w:r>
        <w:t>A travers cette FISONG, l’</w:t>
      </w:r>
      <w:r w:rsidR="00317494">
        <w:t>AFD cherche à investir un champ thématique jusqu’alors peu exploré et à</w:t>
      </w:r>
      <w:r>
        <w:t xml:space="preserve"> tirer des leçons des approches développées par les </w:t>
      </w:r>
      <w:r w:rsidR="00E42BD1">
        <w:t xml:space="preserve">ONG </w:t>
      </w:r>
      <w:r>
        <w:t>pour pouvoir mieux intégrer cette problématique dans ces interventions futures</w:t>
      </w:r>
      <w:r w:rsidR="00E42BD1">
        <w:t xml:space="preserve">. </w:t>
      </w:r>
    </w:p>
    <w:p w14:paraId="11C22BFD" w14:textId="41E13607" w:rsidR="00C62EEC" w:rsidRPr="004262E8" w:rsidRDefault="00811DE5" w:rsidP="00104095">
      <w:pPr>
        <w:pStyle w:val="Soustitre1"/>
      </w:pPr>
      <w:bookmarkStart w:id="20" w:name="_Toc60939081"/>
      <w:r>
        <w:t>Lignes directrices générales</w:t>
      </w:r>
      <w:bookmarkEnd w:id="20"/>
    </w:p>
    <w:p w14:paraId="30F00ADF" w14:textId="12DFA64B" w:rsidR="00811DE5" w:rsidRPr="00104095" w:rsidRDefault="00811DE5" w:rsidP="00104095">
      <w:pPr>
        <w:pStyle w:val="Soussoustitre"/>
      </w:pPr>
      <w:bookmarkStart w:id="21" w:name="_Toc60939082"/>
      <w:r w:rsidRPr="00104095">
        <w:t>Périmètre thématique</w:t>
      </w:r>
      <w:bookmarkEnd w:id="21"/>
    </w:p>
    <w:p w14:paraId="03DDC7E9" w14:textId="77777777" w:rsidR="006E2AC9" w:rsidRPr="00591062" w:rsidRDefault="006E2AC9" w:rsidP="00591062">
      <w:pPr>
        <w:jc w:val="both"/>
        <w:rPr>
          <w:b/>
          <w:bCs/>
          <w:u w:val="single"/>
        </w:rPr>
      </w:pPr>
      <w:r w:rsidRPr="00F87C1C">
        <w:t xml:space="preserve">Les propositions présentées par les ONG </w:t>
      </w:r>
      <w:r w:rsidR="00317494">
        <w:t xml:space="preserve">devront </w:t>
      </w:r>
      <w:r>
        <w:t>reposer sur les principes suivants</w:t>
      </w:r>
      <w:r w:rsidR="00317494">
        <w:t> :</w:t>
      </w:r>
      <w:r>
        <w:t> </w:t>
      </w:r>
    </w:p>
    <w:p w14:paraId="6E4AF747" w14:textId="596A20BA" w:rsidR="004E3F9D" w:rsidRDefault="004E3F9D" w:rsidP="00BF6A65">
      <w:pPr>
        <w:pStyle w:val="Paragraphedeliste"/>
        <w:numPr>
          <w:ilvl w:val="0"/>
          <w:numId w:val="8"/>
        </w:numPr>
        <w:spacing w:before="120" w:after="0" w:line="240" w:lineRule="auto"/>
        <w:jc w:val="both"/>
        <w:rPr>
          <w:b/>
          <w:bCs/>
        </w:rPr>
      </w:pPr>
      <w:r w:rsidRPr="004E3F9D">
        <w:rPr>
          <w:b/>
          <w:bCs/>
        </w:rPr>
        <w:lastRenderedPageBreak/>
        <w:t>Considérer la spécificité des violences gynécologiques et obstétricales comme des violences de genre</w:t>
      </w:r>
    </w:p>
    <w:p w14:paraId="4CFD637E" w14:textId="77777777" w:rsidR="004E3F9D" w:rsidRPr="004E3F9D" w:rsidRDefault="004E3F9D" w:rsidP="00591062">
      <w:pPr>
        <w:pStyle w:val="Paragraphedeliste"/>
        <w:spacing w:before="120" w:after="0" w:line="240" w:lineRule="auto"/>
        <w:jc w:val="both"/>
        <w:rPr>
          <w:b/>
          <w:bCs/>
        </w:rPr>
      </w:pPr>
    </w:p>
    <w:p w14:paraId="0BAB1767" w14:textId="4212C86A" w:rsidR="004E3F9D" w:rsidRDefault="004E3F9D" w:rsidP="00585635">
      <w:pPr>
        <w:jc w:val="both"/>
      </w:pPr>
      <w:r>
        <w:t>Cette FISONG adopte la définition du HCE des VGO</w:t>
      </w:r>
      <w:r>
        <w:rPr>
          <w:rStyle w:val="Appelnotedebasdep"/>
        </w:rPr>
        <w:footnoteReference w:id="24"/>
      </w:r>
      <w:r>
        <w:t xml:space="preserve"> ce qui implique que les projets appréhendent la dimension sexiste des VGO et les considèrent dans l’historicité de l’appropriation du corps des femmes par l’institution médicale. Les rapports sociaux inégalitaires qui caractérisent les difficiles relations entre soignant.es et soigné.es sont documentés dans la majorité des régions du monde. Ces relations ont été particulièrement décrites depuis une trentaine d’années en Afrique de l’Ouest et spécifiquement dans le domaine de la santé maternelle</w:t>
      </w:r>
      <w:r>
        <w:rPr>
          <w:rStyle w:val="Appelnotedebasdep"/>
        </w:rPr>
        <w:footnoteReference w:id="25"/>
      </w:r>
      <w:r>
        <w:t>. Ces recherches ont ainsi rendu visibles les violences psychologiques, verbales et physiques subies par les femmes</w:t>
      </w:r>
      <w:r>
        <w:rPr>
          <w:rStyle w:val="Appelnotedebasdep"/>
        </w:rPr>
        <w:footnoteReference w:id="26"/>
      </w:r>
      <w:r>
        <w:t>, ainsi que la souffrance des soignant.es</w:t>
      </w:r>
      <w:r>
        <w:rPr>
          <w:rStyle w:val="Appelnotedebasdep"/>
        </w:rPr>
        <w:footnoteReference w:id="27"/>
      </w:r>
      <w:r>
        <w:t>. Loin de nier cette réalité et la nécessité d’agir pour pa</w:t>
      </w:r>
      <w:r w:rsidR="00E64663">
        <w:t>l</w:t>
      </w:r>
      <w:r>
        <w:t xml:space="preserve">lier ces souffrances, y compris dans les projets qui seront proposés, </w:t>
      </w:r>
      <w:r w:rsidRPr="00585635">
        <w:rPr>
          <w:b/>
        </w:rPr>
        <w:t>cette FISONG souhaite dépasser ce cadre analytique pour aborder la problématique très spécifique des violences obstétricales comme des violences de genre</w:t>
      </w:r>
      <w:r>
        <w:t xml:space="preserve">. </w:t>
      </w:r>
    </w:p>
    <w:p w14:paraId="049AB0D7" w14:textId="1EA97400" w:rsidR="004E3F9D" w:rsidRDefault="004E3F9D" w:rsidP="00B427E1">
      <w:pPr>
        <w:jc w:val="both"/>
      </w:pPr>
      <w:r w:rsidRPr="007259DC">
        <w:t xml:space="preserve">A ce titre, au-delà des rapports de pouvoir entre soignant.es et soigné.es, cette FISONG intègrera les rapports sociaux inégaux qui s’exercent sur le corps des femmes et qui guident ces pratiques. </w:t>
      </w:r>
      <w:r w:rsidRPr="007259DC">
        <w:rPr>
          <w:b/>
        </w:rPr>
        <w:t xml:space="preserve">Les </w:t>
      </w:r>
      <w:r w:rsidR="001F21BE" w:rsidRPr="000E6C70">
        <w:rPr>
          <w:b/>
        </w:rPr>
        <w:t xml:space="preserve">violences de genre </w:t>
      </w:r>
      <w:r w:rsidR="00652BB3" w:rsidRPr="000E6C70">
        <w:rPr>
          <w:b/>
        </w:rPr>
        <w:t>constituent</w:t>
      </w:r>
      <w:r w:rsidR="001F21BE" w:rsidRPr="000E6C70">
        <w:rPr>
          <w:b/>
        </w:rPr>
        <w:t xml:space="preserve"> </w:t>
      </w:r>
      <w:r w:rsidR="00E1490B" w:rsidRPr="000E6C70">
        <w:rPr>
          <w:b/>
        </w:rPr>
        <w:t>une manifestation</w:t>
      </w:r>
      <w:r w:rsidR="001F21BE" w:rsidRPr="000E6C70">
        <w:rPr>
          <w:b/>
        </w:rPr>
        <w:t xml:space="preserve"> des </w:t>
      </w:r>
      <w:r w:rsidRPr="000E6C70">
        <w:rPr>
          <w:b/>
        </w:rPr>
        <w:t xml:space="preserve">rapports sociaux de domination </w:t>
      </w:r>
      <w:r w:rsidR="00E1490B" w:rsidRPr="000E6C70">
        <w:rPr>
          <w:b/>
        </w:rPr>
        <w:t>des</w:t>
      </w:r>
      <w:r w:rsidRPr="000E6C70">
        <w:rPr>
          <w:b/>
        </w:rPr>
        <w:t xml:space="preserve"> hommes </w:t>
      </w:r>
      <w:r w:rsidR="00E1490B" w:rsidRPr="000E6C70">
        <w:rPr>
          <w:b/>
        </w:rPr>
        <w:t>sur</w:t>
      </w:r>
      <w:r w:rsidRPr="000E6C70">
        <w:rPr>
          <w:b/>
        </w:rPr>
        <w:t xml:space="preserve"> les femmes</w:t>
      </w:r>
      <w:r w:rsidR="001F21BE" w:rsidRPr="000E6C70">
        <w:rPr>
          <w:b/>
        </w:rPr>
        <w:t xml:space="preserve">. Ces </w:t>
      </w:r>
      <w:r w:rsidR="003E018B" w:rsidRPr="000E6C70">
        <w:rPr>
          <w:b/>
        </w:rPr>
        <w:t xml:space="preserve">violences de genre peuvent être exercées à la fois par des hommes mais aussi par des femmes, notamment les sages-femmes. </w:t>
      </w:r>
      <w:r w:rsidR="00224F55" w:rsidRPr="000E6C70">
        <w:rPr>
          <w:bCs/>
        </w:rPr>
        <w:t>Elles</w:t>
      </w:r>
      <w:r w:rsidR="00B427E1" w:rsidRPr="000E6C70">
        <w:rPr>
          <w:bCs/>
        </w:rPr>
        <w:t xml:space="preserve"> </w:t>
      </w:r>
      <w:r w:rsidRPr="000E6C70">
        <w:rPr>
          <w:bCs/>
        </w:rPr>
        <w:t xml:space="preserve">devront </w:t>
      </w:r>
      <w:r w:rsidR="00224F55" w:rsidRPr="000E6C70">
        <w:rPr>
          <w:bCs/>
        </w:rPr>
        <w:t>être entendues comme</w:t>
      </w:r>
      <w:r w:rsidR="00B427E1" w:rsidRPr="000E6C70">
        <w:t xml:space="preserve"> la conséquence</w:t>
      </w:r>
      <w:r w:rsidRPr="007259DC">
        <w:t xml:space="preserve"> </w:t>
      </w:r>
      <w:r w:rsidR="00B427E1" w:rsidRPr="007259DC">
        <w:t>d</w:t>
      </w:r>
      <w:r w:rsidRPr="007259DC">
        <w:t xml:space="preserve">es rapports de pouvoir qui s’exercent sur le corps des femmes, et le contrôle du corps des femmes par la </w:t>
      </w:r>
      <w:r w:rsidRPr="00A0776A">
        <w:t>société</w:t>
      </w:r>
      <w:r w:rsidR="0022354B" w:rsidRPr="00A0776A">
        <w:t xml:space="preserve">. </w:t>
      </w:r>
      <w:r w:rsidR="00455438" w:rsidRPr="00A0776A">
        <w:t xml:space="preserve">Les projets devront </w:t>
      </w:r>
      <w:r w:rsidR="00E90D2F" w:rsidRPr="00A0776A">
        <w:t xml:space="preserve">ainsi </w:t>
      </w:r>
      <w:r w:rsidR="00620267">
        <w:t xml:space="preserve">prévenir et </w:t>
      </w:r>
      <w:r w:rsidR="00E90D2F" w:rsidRPr="00A0776A">
        <w:t xml:space="preserve">répondre </w:t>
      </w:r>
      <w:r w:rsidR="00E450BA" w:rsidRPr="00A0776A">
        <w:t xml:space="preserve">durablement </w:t>
      </w:r>
      <w:r w:rsidR="00E90D2F" w:rsidRPr="00A0776A">
        <w:t>à ces violences structurelles</w:t>
      </w:r>
      <w:r w:rsidR="00E450BA" w:rsidRPr="00A0776A">
        <w:t xml:space="preserve">. Ils devront </w:t>
      </w:r>
      <w:r w:rsidR="00E90D2F" w:rsidRPr="00A0776A">
        <w:t>dépass</w:t>
      </w:r>
      <w:r w:rsidR="00E450BA" w:rsidRPr="00A0776A">
        <w:t>er</w:t>
      </w:r>
      <w:r w:rsidR="00E90D2F" w:rsidRPr="00A0776A">
        <w:t xml:space="preserve"> les </w:t>
      </w:r>
      <w:r w:rsidR="00E450BA" w:rsidRPr="00A0776A">
        <w:t xml:space="preserve">seules </w:t>
      </w:r>
      <w:r w:rsidR="00E90D2F" w:rsidRPr="00A0776A">
        <w:t xml:space="preserve">actions ponctuelles </w:t>
      </w:r>
      <w:r w:rsidR="000E6C70" w:rsidRPr="00A0776A">
        <w:t xml:space="preserve">dans le fonctionnement et l’organisation des structures de soins </w:t>
      </w:r>
      <w:r w:rsidR="00E450BA" w:rsidRPr="00A0776A">
        <w:t xml:space="preserve">pour travailler plus </w:t>
      </w:r>
      <w:r w:rsidR="000E6C70" w:rsidRPr="00A0776A">
        <w:t>en profondeur</w:t>
      </w:r>
      <w:r w:rsidR="00E450BA" w:rsidRPr="00A0776A">
        <w:t xml:space="preserve"> sur</w:t>
      </w:r>
      <w:r w:rsidR="000E6C70" w:rsidRPr="00A0776A">
        <w:t xml:space="preserve"> les normes </w:t>
      </w:r>
      <w:r w:rsidR="00A926BB" w:rsidRPr="00A0776A">
        <w:t>sociales et juridiques.</w:t>
      </w:r>
      <w:r w:rsidR="00A926BB">
        <w:t xml:space="preserve"> </w:t>
      </w:r>
    </w:p>
    <w:p w14:paraId="66B627EB" w14:textId="6140C2C7" w:rsidR="00F70C83" w:rsidRDefault="00F70C83" w:rsidP="00B427E1">
      <w:pPr>
        <w:jc w:val="both"/>
      </w:pPr>
      <w:r w:rsidRPr="00A356C6">
        <w:t xml:space="preserve">Une attention particulière devra être portée </w:t>
      </w:r>
      <w:r w:rsidR="0041524E" w:rsidRPr="00A356C6">
        <w:t>aux</w:t>
      </w:r>
      <w:r w:rsidRPr="00A356C6">
        <w:t xml:space="preserve"> femmes qui se situent à l’intersection de plusieurs rapports sociaux de domination et qui sont particulièrement </w:t>
      </w:r>
      <w:r w:rsidR="0041524E" w:rsidRPr="00A356C6">
        <w:t xml:space="preserve">exposées à ces violences, </w:t>
      </w:r>
      <w:r w:rsidR="00A356C6" w:rsidRPr="00A356C6">
        <w:t>telles que</w:t>
      </w:r>
      <w:r w:rsidR="0041524E" w:rsidRPr="00A356C6">
        <w:t xml:space="preserve"> les adolescentes.</w:t>
      </w:r>
      <w:r>
        <w:t xml:space="preserve"> </w:t>
      </w:r>
    </w:p>
    <w:p w14:paraId="0A073398" w14:textId="28797058" w:rsidR="00E42BD1" w:rsidRDefault="00E42BD1" w:rsidP="00BF6A65">
      <w:pPr>
        <w:pStyle w:val="Paragraphedeliste"/>
        <w:numPr>
          <w:ilvl w:val="0"/>
          <w:numId w:val="8"/>
        </w:numPr>
        <w:spacing w:before="120" w:after="0" w:line="240" w:lineRule="auto"/>
        <w:jc w:val="both"/>
        <w:rPr>
          <w:b/>
          <w:bCs/>
        </w:rPr>
      </w:pPr>
      <w:r w:rsidRPr="00591062">
        <w:rPr>
          <w:b/>
          <w:bCs/>
        </w:rPr>
        <w:t>Dépasser les seules violences obstétricales</w:t>
      </w:r>
      <w:r w:rsidR="00317494">
        <w:rPr>
          <w:b/>
          <w:bCs/>
        </w:rPr>
        <w:t xml:space="preserve"> et prendre en compte également les </w:t>
      </w:r>
      <w:r w:rsidRPr="00591062">
        <w:rPr>
          <w:b/>
          <w:bCs/>
        </w:rPr>
        <w:t>violences gynécologiques</w:t>
      </w:r>
    </w:p>
    <w:p w14:paraId="5152F182" w14:textId="77777777" w:rsidR="00317494" w:rsidRPr="00591062" w:rsidRDefault="00317494" w:rsidP="00591062">
      <w:pPr>
        <w:pStyle w:val="Paragraphedeliste"/>
        <w:spacing w:before="120" w:after="0" w:line="240" w:lineRule="auto"/>
        <w:jc w:val="both"/>
        <w:rPr>
          <w:b/>
          <w:bCs/>
        </w:rPr>
      </w:pPr>
    </w:p>
    <w:p w14:paraId="67E58B05" w14:textId="7AF96425" w:rsidR="0050215A" w:rsidRDefault="00E42BD1" w:rsidP="004B0095">
      <w:pPr>
        <w:jc w:val="both"/>
      </w:pPr>
      <w:r>
        <w:t xml:space="preserve">Alors que les principales recherches académiques et interventions d’OSC portent aujourd’hui essentiellement sur les violences obstétricales, </w:t>
      </w:r>
      <w:r w:rsidRPr="004B0095">
        <w:rPr>
          <w:b/>
        </w:rPr>
        <w:t>cette FISONG souhaite étendre les actions aux violences gynécologiques</w:t>
      </w:r>
      <w:r>
        <w:t xml:space="preserve">, en considérant ces violences </w:t>
      </w:r>
      <w:r w:rsidR="001A55AE">
        <w:t xml:space="preserve">subies </w:t>
      </w:r>
      <w:r w:rsidR="00D562FF">
        <w:t xml:space="preserve">dans le cadre du suivi et de la surveillance par l’institution médicale du corps des femmes </w:t>
      </w:r>
      <w:r>
        <w:t>sur un même continuum de violences faites aux femmes</w:t>
      </w:r>
      <w:r w:rsidRPr="00A0776A">
        <w:t>.</w:t>
      </w:r>
      <w:r w:rsidR="004E3F9D" w:rsidRPr="00A0776A">
        <w:t xml:space="preserve"> </w:t>
      </w:r>
      <w:r w:rsidR="00EF6A42" w:rsidRPr="00A0776A">
        <w:t>Le</w:t>
      </w:r>
      <w:r w:rsidR="00E450BA" w:rsidRPr="00A0776A">
        <w:t>s</w:t>
      </w:r>
      <w:r w:rsidR="00EF6A42" w:rsidRPr="00A0776A">
        <w:t xml:space="preserve"> projets </w:t>
      </w:r>
      <w:r w:rsidR="00E450BA" w:rsidRPr="00A0776A">
        <w:t>sont à ce titre fortement encouragés à intégrer les problématiques de la contraception et si possible, de l’avortement, dans leur rapport avec les violences de genre</w:t>
      </w:r>
      <w:r w:rsidR="00102FAB">
        <w:t xml:space="preserve">. Les projets </w:t>
      </w:r>
      <w:r w:rsidR="00A0776A">
        <w:t xml:space="preserve">pourront par exemple décrire les choix proposés </w:t>
      </w:r>
      <w:r w:rsidR="00102FAB">
        <w:t>(</w:t>
      </w:r>
      <w:r w:rsidR="00A0776A">
        <w:t>ou non</w:t>
      </w:r>
      <w:r w:rsidR="00102FAB">
        <w:t>)</w:t>
      </w:r>
      <w:r w:rsidR="00A0776A">
        <w:t xml:space="preserve"> aux femmes</w:t>
      </w:r>
      <w:r w:rsidR="000E799F">
        <w:t>, les jugements portés par les professionnel</w:t>
      </w:r>
      <w:r w:rsidR="00107AA3">
        <w:t>.le</w:t>
      </w:r>
      <w:r w:rsidR="000E799F">
        <w:t xml:space="preserve">s de santé </w:t>
      </w:r>
      <w:r w:rsidR="00277040">
        <w:t>concernant</w:t>
      </w:r>
      <w:r w:rsidR="000E799F">
        <w:t xml:space="preserve"> les demandes des femmes </w:t>
      </w:r>
      <w:r w:rsidR="00277040">
        <w:t>ainsi que</w:t>
      </w:r>
      <w:r w:rsidR="000E799F">
        <w:t xml:space="preserve"> les réponses apportées à ces demandes, </w:t>
      </w:r>
      <w:r w:rsidR="0050215A">
        <w:t xml:space="preserve">l’espace d’autonomie laissé aux femmes, </w:t>
      </w:r>
      <w:r w:rsidR="0013256B">
        <w:t xml:space="preserve">et </w:t>
      </w:r>
      <w:r w:rsidR="0050215A">
        <w:t>la place du consentement</w:t>
      </w:r>
      <w:r w:rsidR="000C3755">
        <w:t>.</w:t>
      </w:r>
    </w:p>
    <w:p w14:paraId="0EF4E0E4" w14:textId="68CDBF50" w:rsidR="00F23B28" w:rsidRPr="00591062" w:rsidRDefault="00E42BD1" w:rsidP="00BF6A65">
      <w:pPr>
        <w:pStyle w:val="Paragraphedeliste"/>
        <w:numPr>
          <w:ilvl w:val="0"/>
          <w:numId w:val="8"/>
        </w:numPr>
        <w:jc w:val="both"/>
        <w:rPr>
          <w:b/>
        </w:rPr>
      </w:pPr>
      <w:r w:rsidRPr="00591062">
        <w:rPr>
          <w:b/>
        </w:rPr>
        <w:t>Intégrer une composante de recherche-action dans les projets</w:t>
      </w:r>
    </w:p>
    <w:p w14:paraId="0C5E064E" w14:textId="6E4C8234" w:rsidR="0014683B" w:rsidDel="004C1A80" w:rsidRDefault="00F23B28" w:rsidP="0014683B">
      <w:pPr>
        <w:jc w:val="both"/>
      </w:pPr>
      <w:r>
        <w:lastRenderedPageBreak/>
        <w:t>Les projets devront intégrer</w:t>
      </w:r>
      <w:r w:rsidR="00E42BD1">
        <w:t xml:space="preserve"> un</w:t>
      </w:r>
      <w:r w:rsidR="00E16C4C">
        <w:t xml:space="preserve"> volet de recherche</w:t>
      </w:r>
      <w:r w:rsidR="00D75539">
        <w:t xml:space="preserve"> </w:t>
      </w:r>
      <w:r w:rsidR="0014683B">
        <w:t xml:space="preserve">afin de guider leurs différentes actions. </w:t>
      </w:r>
      <w:r w:rsidR="0014683B" w:rsidRPr="0014683B" w:rsidDel="004C1A80">
        <w:t xml:space="preserve"> </w:t>
      </w:r>
      <w:r w:rsidR="0014683B" w:rsidDel="004C1A80">
        <w:t xml:space="preserve">Le caractère innovant de la thématique des VGO et le peu de données disponibles sur ce sujet justifient la nécessité de fournir des données sur ce thème afin de guider les actions par la recherche. </w:t>
      </w:r>
      <w:r w:rsidR="0014683B">
        <w:t>Elles pourront dans cette optique travailler en partenariat avec des acteurs</w:t>
      </w:r>
      <w:r w:rsidR="0034081F">
        <w:t>/actrices</w:t>
      </w:r>
      <w:r w:rsidR="0014683B">
        <w:t xml:space="preserve"> du monde de la recherche</w:t>
      </w:r>
      <w:r w:rsidR="001B22C5">
        <w:t xml:space="preserve"> </w:t>
      </w:r>
      <w:r w:rsidR="0034081F">
        <w:t>en menant</w:t>
      </w:r>
      <w:r w:rsidR="001B22C5" w:rsidDel="004C1A80">
        <w:t xml:space="preserve"> des enquêtes et terrains de recherche tournés vers l’action</w:t>
      </w:r>
      <w:r w:rsidR="0014683B">
        <w:t xml:space="preserve">. </w:t>
      </w:r>
    </w:p>
    <w:p w14:paraId="44B6AFC3" w14:textId="563BC1E8" w:rsidR="003102DA" w:rsidRDefault="00684C75">
      <w:pPr>
        <w:jc w:val="both"/>
      </w:pPr>
      <w:r>
        <w:t xml:space="preserve">Afin de guider les alternatives possibles et les actions du projet, les activités de recherche-action pourront </w:t>
      </w:r>
      <w:r w:rsidR="007D2715">
        <w:t xml:space="preserve">approfondir et documenter certaines thématiques telles que </w:t>
      </w:r>
      <w:r>
        <w:t>les conditions concrètes dans lesquelles les femmes accouchent </w:t>
      </w:r>
      <w:r w:rsidR="003102DA">
        <w:t>(</w:t>
      </w:r>
      <w:r>
        <w:t>salles de naissances communes, absence d’accompagnant.e et absence de prise en charge de la douleur par exemple</w:t>
      </w:r>
      <w:r w:rsidR="003102DA">
        <w:t>)</w:t>
      </w:r>
      <w:r w:rsidR="00AC1D40">
        <w:t>, l</w:t>
      </w:r>
      <w:r w:rsidR="00E42BD1" w:rsidDel="004C1A80">
        <w:t xml:space="preserve">es violences psychologiques, verbales et physiques subies par les femmes, </w:t>
      </w:r>
      <w:r w:rsidR="002F4CCA" w:rsidDel="004C1A80">
        <w:t xml:space="preserve">le ressenti </w:t>
      </w:r>
      <w:r w:rsidR="001F06CC" w:rsidDel="004C1A80">
        <w:t xml:space="preserve">des femmes et des soignant.es sur ces violences, </w:t>
      </w:r>
      <w:r w:rsidR="003102DA">
        <w:t>les pratiques dites « abusives »</w:t>
      </w:r>
      <w:r w:rsidR="006654EC">
        <w:t xml:space="preserve">, </w:t>
      </w:r>
      <w:r w:rsidR="00E42BD1" w:rsidDel="004C1A80">
        <w:t>l’absence d’information et de recueil de consentement auprès des femmes</w:t>
      </w:r>
      <w:r w:rsidR="006654EC">
        <w:t>,</w:t>
      </w:r>
      <w:r w:rsidR="00C13D7E">
        <w:t xml:space="preserve"> ou encore le rapport des femmes à la biomédicalisation et</w:t>
      </w:r>
      <w:r w:rsidR="006654EC">
        <w:t xml:space="preserve"> aux biotechnologies</w:t>
      </w:r>
      <w:r w:rsidR="00C13D7E">
        <w:t>.</w:t>
      </w:r>
    </w:p>
    <w:p w14:paraId="17D98675" w14:textId="2F819EA3" w:rsidR="00F23B28" w:rsidRDefault="00846B72">
      <w:pPr>
        <w:jc w:val="both"/>
      </w:pPr>
      <w:r>
        <w:t xml:space="preserve">Ces données permettront aux actions mises en place d’être au plus proche du terrain, de répondre de façon adaptée au contexte local et aux besoins des actrices et acteurs locaux. </w:t>
      </w:r>
      <w:r w:rsidR="00F553E3">
        <w:t xml:space="preserve">Cette démarche permettra également de limiter les résistances </w:t>
      </w:r>
      <w:r w:rsidR="001D0DE4">
        <w:t xml:space="preserve">au changement </w:t>
      </w:r>
      <w:r w:rsidR="00F553E3">
        <w:t xml:space="preserve">et d’identifier les différents obstacles possibles. </w:t>
      </w:r>
      <w:r w:rsidR="00CA3923">
        <w:t>L</w:t>
      </w:r>
      <w:r w:rsidR="00CA3923" w:rsidRPr="00765A70">
        <w:t>es projet</w:t>
      </w:r>
      <w:r w:rsidR="00CA3923">
        <w:t>s</w:t>
      </w:r>
      <w:r w:rsidR="00CA3923" w:rsidRPr="00765A70">
        <w:t xml:space="preserve"> devront insister sur les aspects éthiques de ce</w:t>
      </w:r>
      <w:r w:rsidR="00CA3923">
        <w:t>tte</w:t>
      </w:r>
      <w:r w:rsidR="00CA3923" w:rsidRPr="00765A70">
        <w:t xml:space="preserve"> recherche-action</w:t>
      </w:r>
      <w:r w:rsidR="00CA3923">
        <w:t xml:space="preserve"> (co-construction de la recherche, implication des bénéficiaires, restitution aux actrices et aux auteurs)</w:t>
      </w:r>
      <w:r w:rsidR="00CA3923" w:rsidRPr="00765A70">
        <w:t>.</w:t>
      </w:r>
      <w:r w:rsidR="00CA3923">
        <w:t xml:space="preserve"> </w:t>
      </w:r>
    </w:p>
    <w:p w14:paraId="611944D3" w14:textId="77777777" w:rsidR="00AC1D40" w:rsidRPr="00AC1D40" w:rsidRDefault="00AF4926" w:rsidP="00AC1D40">
      <w:pPr>
        <w:pStyle w:val="Paragraphedeliste"/>
        <w:numPr>
          <w:ilvl w:val="0"/>
          <w:numId w:val="8"/>
        </w:numPr>
        <w:jc w:val="both"/>
        <w:rPr>
          <w:b/>
        </w:rPr>
      </w:pPr>
      <w:r w:rsidRPr="00AC1D40">
        <w:rPr>
          <w:b/>
        </w:rPr>
        <w:t xml:space="preserve">Promouvoir </w:t>
      </w:r>
      <w:r w:rsidR="003A05E5" w:rsidRPr="00AC1D40">
        <w:rPr>
          <w:b/>
        </w:rPr>
        <w:t>une approche systémique</w:t>
      </w:r>
      <w:r w:rsidR="007259DC" w:rsidRPr="00AC1D40">
        <w:rPr>
          <w:b/>
        </w:rPr>
        <w:t xml:space="preserve"> et</w:t>
      </w:r>
      <w:r w:rsidR="003A05E5" w:rsidRPr="00AC1D40">
        <w:rPr>
          <w:b/>
        </w:rPr>
        <w:t xml:space="preserve"> </w:t>
      </w:r>
      <w:r w:rsidR="00ED470E" w:rsidRPr="00AC1D40">
        <w:rPr>
          <w:b/>
        </w:rPr>
        <w:t>pérenne</w:t>
      </w:r>
    </w:p>
    <w:p w14:paraId="1EBB7FB8" w14:textId="4D8ACE4D" w:rsidR="00F23B28" w:rsidRDefault="00E42BD1" w:rsidP="003A05E5">
      <w:pPr>
        <w:jc w:val="both"/>
      </w:pPr>
      <w:r>
        <w:t xml:space="preserve">Les projets </w:t>
      </w:r>
      <w:r w:rsidR="00F23B28">
        <w:t>pourront cibler un ou plusieurs niveau</w:t>
      </w:r>
      <w:r w:rsidR="007A3E19">
        <w:t>x</w:t>
      </w:r>
      <w:r w:rsidR="00F23B28">
        <w:t xml:space="preserve"> de soins</w:t>
      </w:r>
      <w:r>
        <w:t xml:space="preserve"> </w:t>
      </w:r>
      <w:r w:rsidR="00F23B28">
        <w:t>(</w:t>
      </w:r>
      <w:r>
        <w:t>hôpitaux universitaires, hôpitaux de référence</w:t>
      </w:r>
      <w:r w:rsidR="00F23B28">
        <w:t xml:space="preserve">, </w:t>
      </w:r>
      <w:r>
        <w:t>centres de santé communautaires</w:t>
      </w:r>
      <w:r w:rsidR="00F23B28">
        <w:t>, dispensaires)</w:t>
      </w:r>
      <w:r>
        <w:t xml:space="preserve">. A l’intérieur de ces structures de santé, différents services pourront être identifiés </w:t>
      </w:r>
      <w:r w:rsidR="00DF7E5D">
        <w:t xml:space="preserve">comme prioritaires </w:t>
      </w:r>
      <w:r>
        <w:t>po</w:t>
      </w:r>
      <w:r w:rsidR="007259DC">
        <w:t>ur mettre en place des actions telles que</w:t>
      </w:r>
      <w:r>
        <w:t xml:space="preserve"> des consultations de planification familiale, des consultations prénatales, les services d’urgence gynécologiques et obstétricales, des cours de préparation à l’accouchement, les salles de « pré-travail » ou de « dilatation », les salles de naissances, les services d’hospitalisation (grossesses à haut risques, postpartum, chirurgie gynécologique). </w:t>
      </w:r>
    </w:p>
    <w:p w14:paraId="1A1F76E2" w14:textId="3B7C7DDE" w:rsidR="00E42BD1" w:rsidRDefault="00E42BD1" w:rsidP="003A05E5">
      <w:pPr>
        <w:jc w:val="both"/>
      </w:pPr>
      <w:r>
        <w:t xml:space="preserve">Les projets pourront </w:t>
      </w:r>
      <w:r w:rsidR="003A05E5">
        <w:t>adopter une approche systémique en</w:t>
      </w:r>
      <w:r w:rsidR="00435F2D">
        <w:t xml:space="preserve"> agissant</w:t>
      </w:r>
      <w:r w:rsidR="007259DC">
        <w:t xml:space="preserve"> à plusieurs niveaux : au</w:t>
      </w:r>
      <w:r w:rsidR="00435F2D">
        <w:t xml:space="preserve"> niveau individuel, communautaire et dans la mesure du possible</w:t>
      </w:r>
      <w:r w:rsidR="007259DC">
        <w:t>,</w:t>
      </w:r>
      <w:r w:rsidR="00435F2D">
        <w:t xml:space="preserve"> au niveau </w:t>
      </w:r>
      <w:r w:rsidR="007259DC">
        <w:t>institutionnel</w:t>
      </w:r>
      <w:r w:rsidR="00435F2D">
        <w:t>.</w:t>
      </w:r>
      <w:r w:rsidR="007259DC">
        <w:t xml:space="preserve"> A titre d’exemple, l</w:t>
      </w:r>
      <w:r w:rsidR="00435F2D">
        <w:t>es projets pourr</w:t>
      </w:r>
      <w:r w:rsidR="007259DC">
        <w:t>aie</w:t>
      </w:r>
      <w:r w:rsidR="00435F2D">
        <w:t xml:space="preserve">nt ainsi </w:t>
      </w:r>
      <w:r>
        <w:t xml:space="preserve">cibler les professionnel.les de santé à travers la formation (initiale ou continue), l’amélioration des conditions d’exercice, la mise en place d’espaces de paroles (soutien psychologique, groupes de </w:t>
      </w:r>
      <w:r w:rsidRPr="00A356C6">
        <w:t>paroles</w:t>
      </w:r>
      <w:r w:rsidR="0077305B" w:rsidRPr="00A356C6">
        <w:t xml:space="preserve"> </w:t>
      </w:r>
      <w:r w:rsidR="00761C5B" w:rsidRPr="00A356C6">
        <w:t>entre soignant.es</w:t>
      </w:r>
      <w:r w:rsidRPr="00A356C6">
        <w:t>) mais ils</w:t>
      </w:r>
      <w:r>
        <w:t xml:space="preserve"> pourront aussi cibler les femmes</w:t>
      </w:r>
      <w:r w:rsidR="00EB7C5B">
        <w:t xml:space="preserve">, leurs </w:t>
      </w:r>
      <w:r w:rsidR="002B4204">
        <w:t>accompagnant</w:t>
      </w:r>
      <w:r w:rsidR="00EB7C5B">
        <w:t>.es</w:t>
      </w:r>
      <w:r>
        <w:t xml:space="preserve"> et leurs familles</w:t>
      </w:r>
      <w:r w:rsidR="00705517">
        <w:t xml:space="preserve"> (</w:t>
      </w:r>
      <w:r w:rsidR="007259DC">
        <w:t>stratégies d’</w:t>
      </w:r>
      <w:r w:rsidR="00705517" w:rsidRPr="001930E9">
        <w:rPr>
          <w:i/>
        </w:rPr>
        <w:t>empowerment</w:t>
      </w:r>
      <w:r w:rsidR="00705517">
        <w:t>, approche par les droits)</w:t>
      </w:r>
      <w:r>
        <w:t xml:space="preserve">, ainsi que les communautés </w:t>
      </w:r>
      <w:r w:rsidR="006C7317">
        <w:t xml:space="preserve">à travers des </w:t>
      </w:r>
      <w:r>
        <w:t>programmes de sensibilisation et d’informations</w:t>
      </w:r>
      <w:r w:rsidR="00841BFD">
        <w:t xml:space="preserve">, changement des comportements, </w:t>
      </w:r>
      <w:r w:rsidR="00841BFD" w:rsidRPr="001930E9">
        <w:rPr>
          <w:i/>
        </w:rPr>
        <w:t>community based dialogue</w:t>
      </w:r>
      <w:r w:rsidR="006C7317">
        <w:rPr>
          <w:i/>
        </w:rPr>
        <w:t xml:space="preserve"> </w:t>
      </w:r>
      <w:r w:rsidR="006C7317" w:rsidRPr="001D6599">
        <w:rPr>
          <w:iCs/>
        </w:rPr>
        <w:t>impliquant des professionnel</w:t>
      </w:r>
      <w:r w:rsidR="00465EC3">
        <w:rPr>
          <w:iCs/>
        </w:rPr>
        <w:t>.le</w:t>
      </w:r>
      <w:r w:rsidR="006C7317" w:rsidRPr="001D6599">
        <w:rPr>
          <w:iCs/>
        </w:rPr>
        <w:t xml:space="preserve">s de santé, </w:t>
      </w:r>
      <w:r w:rsidR="00834D01">
        <w:rPr>
          <w:iCs/>
        </w:rPr>
        <w:t xml:space="preserve">et </w:t>
      </w:r>
      <w:r w:rsidR="006C7317" w:rsidRPr="001D6599">
        <w:rPr>
          <w:iCs/>
        </w:rPr>
        <w:t>diffusion d’expériences positives</w:t>
      </w:r>
      <w:r w:rsidR="00023EFC" w:rsidRPr="001D6599">
        <w:rPr>
          <w:iCs/>
        </w:rPr>
        <w:t>.</w:t>
      </w:r>
      <w:r w:rsidR="00023EFC">
        <w:t xml:space="preserve"> </w:t>
      </w:r>
      <w:r w:rsidR="00ED470E">
        <w:t xml:space="preserve">Les projets pourront également appuyer </w:t>
      </w:r>
      <w:r w:rsidR="00ED470E" w:rsidRPr="00727312">
        <w:t xml:space="preserve">des activités </w:t>
      </w:r>
      <w:r w:rsidR="006C7317">
        <w:t xml:space="preserve">au niveau plus institutionnel, au travers par exemple de stratégie de plaidoyer ou encore d’activités </w:t>
      </w:r>
      <w:r w:rsidR="00ED470E" w:rsidRPr="00727312">
        <w:t>de soutien aux organisations féministes</w:t>
      </w:r>
      <w:r w:rsidR="00ED470E">
        <w:t xml:space="preserve"> </w:t>
      </w:r>
      <w:r w:rsidR="006C7317">
        <w:t>via</w:t>
      </w:r>
      <w:r w:rsidR="00ED470E">
        <w:t xml:space="preserve"> notamment du renforcement de capacités. </w:t>
      </w:r>
    </w:p>
    <w:p w14:paraId="4A518E6E" w14:textId="1735EA01" w:rsidR="00CB0FE9" w:rsidRPr="0061258E" w:rsidRDefault="00E42BD1" w:rsidP="00B63AE5">
      <w:pPr>
        <w:jc w:val="both"/>
      </w:pPr>
      <w:r>
        <w:t xml:space="preserve">Une attention particulière devra être portée pour que les projets proposés puissent s’inscrire dans la pérennité avec </w:t>
      </w:r>
      <w:r w:rsidR="006C7317">
        <w:t>des approches basées sur le</w:t>
      </w:r>
      <w:r>
        <w:t xml:space="preserve"> changement des attitudes et des comportements à long terme, ou en investissant dans la formation des sages-femmes sur les rapports sociaux de sexe afin de promouvoir une attitude </w:t>
      </w:r>
      <w:r w:rsidRPr="00765A70">
        <w:t>bien</w:t>
      </w:r>
      <w:r w:rsidR="00DA5542" w:rsidRPr="00765A70">
        <w:t>traitante</w:t>
      </w:r>
      <w:r>
        <w:t xml:space="preserve"> dès le début de la formation et pour les futures générations. Ainsi, une attention particulière devra être donnée à la capacité du projet à avoir une action pérenne contre les VGO.</w:t>
      </w:r>
    </w:p>
    <w:p w14:paraId="33ECC0A1" w14:textId="77777777" w:rsidR="00102205" w:rsidRPr="000A3A23" w:rsidRDefault="00102205" w:rsidP="00104095">
      <w:pPr>
        <w:pStyle w:val="Soussoustitre"/>
      </w:pPr>
      <w:bookmarkStart w:id="22" w:name="_Toc60939083"/>
      <w:r w:rsidRPr="000A3A23">
        <w:lastRenderedPageBreak/>
        <w:t>Périmètre géographique</w:t>
      </w:r>
      <w:bookmarkEnd w:id="22"/>
      <w:r w:rsidRPr="000A3A23">
        <w:t xml:space="preserve"> </w:t>
      </w:r>
    </w:p>
    <w:p w14:paraId="1CA6AF9D" w14:textId="44AEB816" w:rsidR="00CB0FE9" w:rsidRDefault="00CB0FE9" w:rsidP="00AC1D40">
      <w:pPr>
        <w:jc w:val="both"/>
        <w:rPr>
          <w:bCs/>
          <w:color w:val="000000"/>
        </w:rPr>
      </w:pPr>
      <w:r>
        <w:rPr>
          <w:bCs/>
          <w:color w:val="000000"/>
        </w:rPr>
        <w:t>Pour cette FISONG, l’AFD a décidé de</w:t>
      </w:r>
      <w:r w:rsidR="006F09F0">
        <w:rPr>
          <w:bCs/>
          <w:color w:val="000000"/>
        </w:rPr>
        <w:t xml:space="preserve"> cibler les pays prioritaires </w:t>
      </w:r>
      <w:r w:rsidR="00AC1D40">
        <w:rPr>
          <w:bCs/>
          <w:color w:val="000000"/>
        </w:rPr>
        <w:t>de l’aide</w:t>
      </w:r>
      <w:r w:rsidRPr="00CB0FE9">
        <w:rPr>
          <w:bCs/>
          <w:color w:val="000000"/>
        </w:rPr>
        <w:t xml:space="preserve"> </w:t>
      </w:r>
      <w:r w:rsidR="00540595">
        <w:rPr>
          <w:bCs/>
          <w:color w:val="000000"/>
        </w:rPr>
        <w:t xml:space="preserve">publique </w:t>
      </w:r>
      <w:r w:rsidRPr="00CB0FE9">
        <w:rPr>
          <w:bCs/>
          <w:color w:val="000000"/>
        </w:rPr>
        <w:t>française</w:t>
      </w:r>
      <w:r w:rsidR="00540595">
        <w:rPr>
          <w:bCs/>
          <w:color w:val="000000"/>
        </w:rPr>
        <w:t xml:space="preserve"> au développement</w:t>
      </w:r>
      <w:r w:rsidR="0021164D">
        <w:rPr>
          <w:bCs/>
          <w:color w:val="000000"/>
        </w:rPr>
        <w:t xml:space="preserve"> : </w:t>
      </w:r>
      <w:r w:rsidR="0021164D">
        <w:t>Bénin, Burkina Faso, Comores, Guinée, Haïti, Madagascar, Mali, Mauritanie, Niger, République centrafricaine, République démocratique du Congo, Sénégal, Tchad, Togo</w:t>
      </w:r>
      <w:r w:rsidR="001708EC">
        <w:rPr>
          <w:bCs/>
          <w:color w:val="000000"/>
        </w:rPr>
        <w:t xml:space="preserve">, </w:t>
      </w:r>
      <w:r w:rsidR="001708EC" w:rsidRPr="001708EC">
        <w:rPr>
          <w:bCs/>
          <w:color w:val="000000"/>
        </w:rPr>
        <w:t>Djibouti, Liberia,</w:t>
      </w:r>
      <w:r w:rsidR="001708EC">
        <w:rPr>
          <w:bCs/>
          <w:color w:val="000000"/>
        </w:rPr>
        <w:t xml:space="preserve"> Burundi. </w:t>
      </w:r>
    </w:p>
    <w:p w14:paraId="7BA3B675" w14:textId="42793541" w:rsidR="00102205" w:rsidRPr="000A3A23" w:rsidRDefault="00102205" w:rsidP="00104095">
      <w:pPr>
        <w:pStyle w:val="Soussoustitre"/>
        <w:numPr>
          <w:ilvl w:val="2"/>
          <w:numId w:val="10"/>
        </w:numPr>
        <w:rPr>
          <w:smallCaps/>
        </w:rPr>
      </w:pPr>
      <w:bookmarkStart w:id="23" w:name="_Toc60939084"/>
      <w:r w:rsidRPr="000A3A23">
        <w:t>Durée des projets</w:t>
      </w:r>
      <w:bookmarkEnd w:id="23"/>
      <w:r w:rsidRPr="000A3A23">
        <w:t xml:space="preserve"> </w:t>
      </w:r>
    </w:p>
    <w:p w14:paraId="529BB23F" w14:textId="7CA0DE47" w:rsidR="00A346EF" w:rsidRDefault="00A346EF" w:rsidP="00ED2BE8">
      <w:pPr>
        <w:jc w:val="both"/>
        <w:rPr>
          <w:color w:val="000000"/>
        </w:rPr>
      </w:pPr>
      <w:r w:rsidRPr="00D13019">
        <w:rPr>
          <w:b/>
          <w:color w:val="000000"/>
        </w:rPr>
        <w:t xml:space="preserve">La durée </w:t>
      </w:r>
      <w:r w:rsidR="00B44CF4">
        <w:rPr>
          <w:b/>
          <w:color w:val="000000"/>
        </w:rPr>
        <w:t>classique</w:t>
      </w:r>
      <w:r w:rsidR="00B44CF4" w:rsidRPr="00D13019">
        <w:rPr>
          <w:b/>
          <w:color w:val="000000"/>
        </w:rPr>
        <w:t xml:space="preserve"> </w:t>
      </w:r>
      <w:r w:rsidRPr="00D13019">
        <w:rPr>
          <w:b/>
          <w:color w:val="000000"/>
        </w:rPr>
        <w:t xml:space="preserve">d’un projet FISONG est de trois ans, </w:t>
      </w:r>
      <w:r w:rsidRPr="00D13019">
        <w:rPr>
          <w:bCs/>
          <w:color w:val="000000"/>
        </w:rPr>
        <w:t>d’autres durées peuvent être proposées sans t</w:t>
      </w:r>
      <w:r w:rsidRPr="00D13019">
        <w:rPr>
          <w:color w:val="000000"/>
        </w:rPr>
        <w:t>outefois pouvoir</w:t>
      </w:r>
      <w:r w:rsidRPr="00D13019">
        <w:rPr>
          <w:b/>
          <w:color w:val="000000"/>
        </w:rPr>
        <w:t xml:space="preserve"> excéder cinq ans. </w:t>
      </w:r>
      <w:r w:rsidRPr="00D13019">
        <w:rPr>
          <w:color w:val="000000"/>
        </w:rPr>
        <w:t>De plus</w:t>
      </w:r>
      <w:r w:rsidR="00AC1D40">
        <w:rPr>
          <w:color w:val="000000"/>
        </w:rPr>
        <w:t>,</w:t>
      </w:r>
      <w:r w:rsidRPr="00D13019">
        <w:rPr>
          <w:color w:val="000000"/>
        </w:rPr>
        <w:t xml:space="preserve"> </w:t>
      </w:r>
      <w:r w:rsidRPr="00D13019">
        <w:rPr>
          <w:b/>
          <w:color w:val="000000"/>
        </w:rPr>
        <w:t>une évaluation à mi-parcours sera nécessaire dès lors que le projet dépasse une durée de trois ans</w:t>
      </w:r>
      <w:r w:rsidRPr="00D13019">
        <w:rPr>
          <w:color w:val="000000"/>
        </w:rPr>
        <w:t>. Cette évaluation devra être intégrée au plan de financement et au pilotage du projet.</w:t>
      </w:r>
    </w:p>
    <w:p w14:paraId="3A11EB96" w14:textId="08CECD23" w:rsidR="00A346EF" w:rsidRPr="00C62EEC" w:rsidRDefault="00ED2BE8" w:rsidP="00104095">
      <w:pPr>
        <w:pStyle w:val="Soussoustitre"/>
        <w:numPr>
          <w:ilvl w:val="2"/>
          <w:numId w:val="10"/>
        </w:numPr>
      </w:pPr>
      <w:bookmarkStart w:id="24" w:name="_Toc60939085"/>
      <w:r w:rsidRPr="00C62EEC">
        <w:t>Bénéficiaires</w:t>
      </w:r>
      <w:bookmarkEnd w:id="24"/>
      <w:r w:rsidRPr="00C62EEC">
        <w:t xml:space="preserve"> </w:t>
      </w:r>
    </w:p>
    <w:p w14:paraId="5C87A505" w14:textId="6F2C7C2C" w:rsidR="00ED2BE8" w:rsidRDefault="00ED2BE8" w:rsidP="00FA1C2A">
      <w:pPr>
        <w:jc w:val="both"/>
        <w:rPr>
          <w:color w:val="000000"/>
        </w:rPr>
      </w:pPr>
      <w:r>
        <w:rPr>
          <w:color w:val="000000"/>
        </w:rPr>
        <w:t>Afin de proposer une réponse adaptée à la problématique des V</w:t>
      </w:r>
      <w:r w:rsidR="004027F4">
        <w:rPr>
          <w:color w:val="000000"/>
        </w:rPr>
        <w:t>GO</w:t>
      </w:r>
      <w:r>
        <w:rPr>
          <w:color w:val="000000"/>
        </w:rPr>
        <w:t>, plusieurs catégories de</w:t>
      </w:r>
      <w:r w:rsidRPr="00ED2BE8">
        <w:rPr>
          <w:color w:val="000000"/>
        </w:rPr>
        <w:t xml:space="preserve"> </w:t>
      </w:r>
      <w:r w:rsidRPr="00A356C6">
        <w:rPr>
          <w:color w:val="000000"/>
        </w:rPr>
        <w:t>bénéficiaires</w:t>
      </w:r>
      <w:r w:rsidR="00505F5C" w:rsidRPr="00A356C6">
        <w:rPr>
          <w:color w:val="000000"/>
        </w:rPr>
        <w:t>, d’acteurs et d’</w:t>
      </w:r>
      <w:r w:rsidR="004027F4" w:rsidRPr="00A356C6">
        <w:rPr>
          <w:color w:val="000000"/>
        </w:rPr>
        <w:t>actrices</w:t>
      </w:r>
      <w:r w:rsidRPr="00A356C6">
        <w:rPr>
          <w:color w:val="000000"/>
        </w:rPr>
        <w:t xml:space="preserve"> </w:t>
      </w:r>
      <w:r w:rsidR="00C63C18">
        <w:rPr>
          <w:color w:val="000000"/>
        </w:rPr>
        <w:t>pourront</w:t>
      </w:r>
      <w:r w:rsidRPr="00A356C6">
        <w:rPr>
          <w:color w:val="000000"/>
        </w:rPr>
        <w:t xml:space="preserve"> être ciblées</w:t>
      </w:r>
      <w:r w:rsidRPr="00ED2BE8">
        <w:rPr>
          <w:color w:val="000000"/>
        </w:rPr>
        <w:t xml:space="preserve"> </w:t>
      </w:r>
      <w:r>
        <w:rPr>
          <w:color w:val="000000"/>
        </w:rPr>
        <w:t xml:space="preserve">dans cet appel à propositions : </w:t>
      </w:r>
    </w:p>
    <w:p w14:paraId="5AD28E40" w14:textId="20598A5D" w:rsidR="00CB0FE9" w:rsidRDefault="00CB0FE9" w:rsidP="00BF6A65">
      <w:pPr>
        <w:pStyle w:val="Paragraphedeliste"/>
        <w:numPr>
          <w:ilvl w:val="0"/>
          <w:numId w:val="4"/>
        </w:numPr>
        <w:rPr>
          <w:color w:val="000000"/>
        </w:rPr>
      </w:pPr>
      <w:r>
        <w:rPr>
          <w:color w:val="000000"/>
        </w:rPr>
        <w:t xml:space="preserve">Les </w:t>
      </w:r>
      <w:r w:rsidR="00525683">
        <w:rPr>
          <w:color w:val="000000"/>
        </w:rPr>
        <w:t>femmes</w:t>
      </w:r>
      <w:r w:rsidR="00D9449A">
        <w:rPr>
          <w:color w:val="000000"/>
        </w:rPr>
        <w:t xml:space="preserve">, leurs </w:t>
      </w:r>
      <w:r w:rsidR="002B4204">
        <w:rPr>
          <w:color w:val="000000"/>
        </w:rPr>
        <w:t>accompagnant</w:t>
      </w:r>
      <w:r w:rsidR="00D9449A">
        <w:rPr>
          <w:color w:val="000000"/>
        </w:rPr>
        <w:t>.es</w:t>
      </w:r>
      <w:r w:rsidR="00677916">
        <w:rPr>
          <w:color w:val="000000"/>
        </w:rPr>
        <w:t xml:space="preserve"> et leur famille </w:t>
      </w:r>
      <w:r w:rsidR="00260695">
        <w:rPr>
          <w:color w:val="000000"/>
        </w:rPr>
        <w:t>(conjoint</w:t>
      </w:r>
      <w:r w:rsidR="003B067A">
        <w:rPr>
          <w:color w:val="000000"/>
        </w:rPr>
        <w:t>.e</w:t>
      </w:r>
      <w:r w:rsidR="00260695">
        <w:rPr>
          <w:color w:val="000000"/>
        </w:rPr>
        <w:t xml:space="preserve"> et enfants)</w:t>
      </w:r>
    </w:p>
    <w:p w14:paraId="5AA81A7F" w14:textId="77777777" w:rsidR="00ED2BE8" w:rsidRDefault="00ED2BE8" w:rsidP="00BF6A65">
      <w:pPr>
        <w:pStyle w:val="Paragraphedeliste"/>
        <w:numPr>
          <w:ilvl w:val="0"/>
          <w:numId w:val="4"/>
        </w:numPr>
        <w:rPr>
          <w:color w:val="000000"/>
        </w:rPr>
      </w:pPr>
      <w:r>
        <w:rPr>
          <w:color w:val="000000"/>
        </w:rPr>
        <w:t xml:space="preserve">Le personnel </w:t>
      </w:r>
      <w:r w:rsidR="00737EB3">
        <w:rPr>
          <w:color w:val="000000"/>
        </w:rPr>
        <w:t>soignant</w:t>
      </w:r>
      <w:r w:rsidR="00B4677C">
        <w:rPr>
          <w:color w:val="000000"/>
        </w:rPr>
        <w:t xml:space="preserve"> intervenant directement ou indirectement lors de la réalisation de soins gynécologiques ou obstétricaux</w:t>
      </w:r>
      <w:r>
        <w:rPr>
          <w:color w:val="000000"/>
        </w:rPr>
        <w:t xml:space="preserve"> </w:t>
      </w:r>
    </w:p>
    <w:p w14:paraId="7E0D4D87" w14:textId="77777777" w:rsidR="00811DE5" w:rsidRDefault="00811DE5" w:rsidP="00BF6A65">
      <w:pPr>
        <w:pStyle w:val="Paragraphedeliste"/>
        <w:numPr>
          <w:ilvl w:val="0"/>
          <w:numId w:val="4"/>
        </w:numPr>
        <w:rPr>
          <w:color w:val="000000"/>
        </w:rPr>
      </w:pPr>
      <w:r>
        <w:rPr>
          <w:color w:val="000000"/>
        </w:rPr>
        <w:t>Les communautés</w:t>
      </w:r>
    </w:p>
    <w:p w14:paraId="5F643A9D" w14:textId="77777777" w:rsidR="00CB0FE9" w:rsidRDefault="00CB0FE9" w:rsidP="00BF6A65">
      <w:pPr>
        <w:pStyle w:val="Paragraphedeliste"/>
        <w:numPr>
          <w:ilvl w:val="0"/>
          <w:numId w:val="4"/>
        </w:numPr>
        <w:rPr>
          <w:color w:val="000000"/>
        </w:rPr>
      </w:pPr>
      <w:r>
        <w:rPr>
          <w:color w:val="000000"/>
        </w:rPr>
        <w:t xml:space="preserve">La société civile </w:t>
      </w:r>
    </w:p>
    <w:p w14:paraId="09763E0C" w14:textId="266099C5" w:rsidR="00811DE5" w:rsidRPr="00CB0FE9" w:rsidRDefault="00CB0FE9" w:rsidP="00BF6A65">
      <w:pPr>
        <w:pStyle w:val="Paragraphedeliste"/>
        <w:numPr>
          <w:ilvl w:val="0"/>
          <w:numId w:val="4"/>
        </w:numPr>
        <w:rPr>
          <w:color w:val="000000"/>
        </w:rPr>
      </w:pPr>
      <w:r>
        <w:rPr>
          <w:color w:val="000000"/>
        </w:rPr>
        <w:t>Les autorités nationales et locales</w:t>
      </w:r>
      <w:r w:rsidR="00811DE5">
        <w:rPr>
          <w:color w:val="000000"/>
        </w:rPr>
        <w:t>/traditionnelles</w:t>
      </w:r>
    </w:p>
    <w:p w14:paraId="18371A12" w14:textId="77777777" w:rsidR="00F06C58" w:rsidRPr="00C62EEC" w:rsidRDefault="00F06C58" w:rsidP="00104095">
      <w:pPr>
        <w:pStyle w:val="Soussoustitre"/>
        <w:numPr>
          <w:ilvl w:val="2"/>
          <w:numId w:val="10"/>
        </w:numPr>
      </w:pPr>
      <w:bookmarkStart w:id="25" w:name="_Toc60939086"/>
      <w:r w:rsidRPr="00CC33C9">
        <w:t>Modes d’intervention transversaux</w:t>
      </w:r>
      <w:bookmarkEnd w:id="25"/>
    </w:p>
    <w:p w14:paraId="14EFD180" w14:textId="77777777" w:rsidR="00F06C58" w:rsidRPr="00D13019" w:rsidRDefault="00F06C58" w:rsidP="00F06C58">
      <w:r w:rsidRPr="00D13019">
        <w:t>Les ONG devront respecter les principes d’action suivants :</w:t>
      </w:r>
    </w:p>
    <w:p w14:paraId="4F44CE60" w14:textId="1E954FC6" w:rsidR="00F06C58" w:rsidRDefault="0021164D" w:rsidP="00BF6A65">
      <w:pPr>
        <w:pStyle w:val="Paragraphedeliste"/>
        <w:numPr>
          <w:ilvl w:val="0"/>
          <w:numId w:val="5"/>
        </w:numPr>
        <w:spacing w:after="0" w:line="240" w:lineRule="auto"/>
        <w:contextualSpacing w:val="0"/>
        <w:jc w:val="both"/>
      </w:pPr>
      <w:r>
        <w:rPr>
          <w:b/>
        </w:rPr>
        <w:t>Concertation a</w:t>
      </w:r>
      <w:r w:rsidR="00E672FA">
        <w:rPr>
          <w:b/>
        </w:rPr>
        <w:t>u démarrage du projet</w:t>
      </w:r>
      <w:r>
        <w:rPr>
          <w:b/>
        </w:rPr>
        <w:t xml:space="preserve"> et </w:t>
      </w:r>
      <w:r w:rsidR="00F06C58" w:rsidRPr="00D13019">
        <w:rPr>
          <w:b/>
        </w:rPr>
        <w:t xml:space="preserve">au cours de </w:t>
      </w:r>
      <w:r>
        <w:rPr>
          <w:b/>
        </w:rPr>
        <w:t>s</w:t>
      </w:r>
      <w:r w:rsidRPr="00D13019">
        <w:rPr>
          <w:b/>
        </w:rPr>
        <w:t xml:space="preserve">a </w:t>
      </w:r>
      <w:r w:rsidR="00F06C58" w:rsidRPr="00D13019">
        <w:rPr>
          <w:b/>
        </w:rPr>
        <w:t>mise en œuvre</w:t>
      </w:r>
      <w:r w:rsidR="00F06C58" w:rsidRPr="00D13019">
        <w:t>, pour veiller à l’appropriation par les populations d’une part et les acteurs locaux</w:t>
      </w:r>
      <w:r w:rsidR="003B067A">
        <w:t xml:space="preserve"> et actrices locales</w:t>
      </w:r>
      <w:r w:rsidR="00F06C58" w:rsidRPr="00D13019">
        <w:t>, d’autre part</w:t>
      </w:r>
      <w:r w:rsidR="001315EB">
        <w:t xml:space="preserve">. La population, </w:t>
      </w:r>
      <w:r w:rsidR="00CB0FE9">
        <w:t xml:space="preserve">la société civile, </w:t>
      </w:r>
      <w:r w:rsidR="001315EB">
        <w:t xml:space="preserve">le personnel soignant </w:t>
      </w:r>
      <w:r w:rsidR="00F06C58">
        <w:t xml:space="preserve">et a fortiori les femmes </w:t>
      </w:r>
      <w:r w:rsidR="00DB3399">
        <w:t>concernées par les</w:t>
      </w:r>
      <w:r w:rsidR="00F06C58">
        <w:t xml:space="preserve"> soins obstétriques et gynécologiques </w:t>
      </w:r>
      <w:r w:rsidR="00F06C58" w:rsidRPr="00D13019">
        <w:t xml:space="preserve">devront être considérés comme des acteurs </w:t>
      </w:r>
      <w:r w:rsidR="003B067A">
        <w:t xml:space="preserve">et actrices </w:t>
      </w:r>
      <w:r w:rsidR="00F06C58" w:rsidRPr="00D13019">
        <w:t>à part entière du projet ;</w:t>
      </w:r>
    </w:p>
    <w:p w14:paraId="0DCC55B4" w14:textId="206C89F4" w:rsidR="00E672FA" w:rsidRPr="00D13019" w:rsidRDefault="00E672FA" w:rsidP="00BF6A65">
      <w:pPr>
        <w:pStyle w:val="Paragraphedeliste"/>
        <w:numPr>
          <w:ilvl w:val="0"/>
          <w:numId w:val="5"/>
        </w:numPr>
        <w:spacing w:after="0" w:line="240" w:lineRule="auto"/>
        <w:contextualSpacing w:val="0"/>
        <w:jc w:val="both"/>
      </w:pPr>
      <w:r>
        <w:rPr>
          <w:b/>
        </w:rPr>
        <w:t xml:space="preserve">Susciter et contribuer </w:t>
      </w:r>
      <w:r w:rsidR="0021164D">
        <w:rPr>
          <w:b/>
        </w:rPr>
        <w:t xml:space="preserve">à </w:t>
      </w:r>
      <w:r>
        <w:rPr>
          <w:b/>
        </w:rPr>
        <w:t>un dialogue pluri</w:t>
      </w:r>
      <w:r w:rsidR="0021164D">
        <w:rPr>
          <w:b/>
        </w:rPr>
        <w:t>-</w:t>
      </w:r>
      <w:r>
        <w:rPr>
          <w:b/>
        </w:rPr>
        <w:t>acteur</w:t>
      </w:r>
      <w:r w:rsidR="0021164D">
        <w:rPr>
          <w:b/>
        </w:rPr>
        <w:t>s</w:t>
      </w:r>
      <w:r>
        <w:rPr>
          <w:b/>
        </w:rPr>
        <w:t xml:space="preserve"> sur la thématique des VOG, y </w:t>
      </w:r>
      <w:r w:rsidR="001708EC">
        <w:rPr>
          <w:b/>
        </w:rPr>
        <w:t>compris auprès</w:t>
      </w:r>
      <w:r w:rsidR="00AC1D40">
        <w:rPr>
          <w:b/>
        </w:rPr>
        <w:t xml:space="preserve"> des acteurs institutionnels.</w:t>
      </w:r>
      <w:r>
        <w:rPr>
          <w:b/>
        </w:rPr>
        <w:t xml:space="preserve"> </w:t>
      </w:r>
    </w:p>
    <w:p w14:paraId="59E414DC" w14:textId="77777777" w:rsidR="00F06C58" w:rsidRPr="00D13019" w:rsidRDefault="00F06C58" w:rsidP="001315EB">
      <w:pPr>
        <w:jc w:val="both"/>
      </w:pPr>
    </w:p>
    <w:p w14:paraId="1E0123DA" w14:textId="14C7E8C9" w:rsidR="00CB0FE9" w:rsidRDefault="00CB0FE9" w:rsidP="001315EB">
      <w:pPr>
        <w:jc w:val="both"/>
      </w:pPr>
      <w:r>
        <w:t>Pour cette FISONG, l’AFD a décidé de prendre en considération l’innovation thématique plutôt que l’innovation par l’approche. Toutefois, l</w:t>
      </w:r>
      <w:r w:rsidR="00F06C58" w:rsidRPr="00D13019">
        <w:t xml:space="preserve">es ONG devront </w:t>
      </w:r>
      <w:r>
        <w:t>favoriser</w:t>
      </w:r>
      <w:r w:rsidR="00F06C58" w:rsidRPr="00D13019">
        <w:t xml:space="preserve"> des méthodes d’interventions innovantes de diagnostic</w:t>
      </w:r>
      <w:r>
        <w:t xml:space="preserve"> et de prise en charge</w:t>
      </w:r>
      <w:r w:rsidR="00F06C58" w:rsidRPr="00D13019">
        <w:t xml:space="preserve"> </w:t>
      </w:r>
      <w:r>
        <w:t>des VG</w:t>
      </w:r>
      <w:r w:rsidR="003B067A">
        <w:t>O</w:t>
      </w:r>
      <w:r>
        <w:t xml:space="preserve"> </w:t>
      </w:r>
      <w:r w:rsidR="00F06C58" w:rsidRPr="00D13019">
        <w:t xml:space="preserve">en concertation avec les </w:t>
      </w:r>
      <w:r>
        <w:t xml:space="preserve">différents </w:t>
      </w:r>
      <w:r w:rsidR="00F06C58" w:rsidRPr="00D13019">
        <w:t>acteurs</w:t>
      </w:r>
      <w:r w:rsidR="001315EB">
        <w:t xml:space="preserve"> </w:t>
      </w:r>
      <w:r>
        <w:t>du projet.</w:t>
      </w:r>
    </w:p>
    <w:p w14:paraId="2CC91333" w14:textId="77777777" w:rsidR="00DC49BC" w:rsidRDefault="00F06C58" w:rsidP="001315EB">
      <w:pPr>
        <w:jc w:val="both"/>
      </w:pPr>
      <w:r w:rsidRPr="00D13019">
        <w:t xml:space="preserve">Les projets doivent être conçus sur la base de diagnostics initiaux (issus </w:t>
      </w:r>
      <w:r w:rsidR="001315EB">
        <w:t xml:space="preserve">en partie </w:t>
      </w:r>
      <w:r w:rsidRPr="00D13019">
        <w:t xml:space="preserve">de la connaissance antérieure du contexte et </w:t>
      </w:r>
      <w:r w:rsidR="00CB0FE9">
        <w:t>qui seront complétés tout au long du</w:t>
      </w:r>
      <w:r w:rsidRPr="00D13019">
        <w:t xml:space="preserve"> projet) et participatifs incluant a minima </w:t>
      </w:r>
      <w:r w:rsidR="00DC49BC">
        <w:t>un dial</w:t>
      </w:r>
      <w:r w:rsidR="00CB0FE9">
        <w:t xml:space="preserve">ogue avec le personnel soignant, </w:t>
      </w:r>
      <w:r w:rsidR="00DC49BC">
        <w:t xml:space="preserve">les </w:t>
      </w:r>
      <w:r w:rsidR="00CB0FE9">
        <w:t>femmes ciblées par le projet, la société civile et les autorités locales.</w:t>
      </w:r>
      <w:r w:rsidR="00DC49BC">
        <w:t xml:space="preserve"> </w:t>
      </w:r>
    </w:p>
    <w:p w14:paraId="6F1CC027" w14:textId="77777777" w:rsidR="003D2336" w:rsidRPr="0034205F" w:rsidRDefault="00F06C58" w:rsidP="001708EC">
      <w:pPr>
        <w:jc w:val="both"/>
        <w:rPr>
          <w:b/>
        </w:rPr>
      </w:pPr>
      <w:r w:rsidRPr="0034205F">
        <w:rPr>
          <w:b/>
        </w:rPr>
        <w:t xml:space="preserve">Une approche partenariale est </w:t>
      </w:r>
      <w:r w:rsidR="00CB0FE9" w:rsidRPr="0034205F">
        <w:rPr>
          <w:b/>
        </w:rPr>
        <w:t>requise avec un</w:t>
      </w:r>
      <w:r w:rsidR="00C63C18" w:rsidRPr="0034205F">
        <w:rPr>
          <w:b/>
        </w:rPr>
        <w:t>e institution</w:t>
      </w:r>
      <w:r w:rsidR="00F908AD" w:rsidRPr="0034205F">
        <w:rPr>
          <w:b/>
        </w:rPr>
        <w:t xml:space="preserve"> </w:t>
      </w:r>
      <w:r w:rsidR="00CB0FE9" w:rsidRPr="0034205F">
        <w:rPr>
          <w:b/>
        </w:rPr>
        <w:t>de recherche</w:t>
      </w:r>
      <w:r w:rsidR="001D7D32" w:rsidRPr="0034205F">
        <w:rPr>
          <w:b/>
        </w:rPr>
        <w:t xml:space="preserve"> ou un/plusieurs chercheur</w:t>
      </w:r>
      <w:r w:rsidR="003E20E7" w:rsidRPr="0034205F">
        <w:rPr>
          <w:b/>
        </w:rPr>
        <w:t>.e</w:t>
      </w:r>
      <w:r w:rsidR="001D7D32" w:rsidRPr="0034205F">
        <w:rPr>
          <w:b/>
        </w:rPr>
        <w:t>s</w:t>
      </w:r>
      <w:r w:rsidR="00CB0FE9" w:rsidRPr="0034205F">
        <w:rPr>
          <w:b/>
        </w:rPr>
        <w:t xml:space="preserve">, </w:t>
      </w:r>
      <w:r w:rsidR="001D7D32" w:rsidRPr="0034205F">
        <w:rPr>
          <w:b/>
        </w:rPr>
        <w:t>ainsi qu’</w:t>
      </w:r>
      <w:r w:rsidR="00CB0FE9" w:rsidRPr="0034205F">
        <w:rPr>
          <w:b/>
        </w:rPr>
        <w:t>avec des</w:t>
      </w:r>
      <w:r w:rsidRPr="0034205F">
        <w:rPr>
          <w:b/>
        </w:rPr>
        <w:t xml:space="preserve"> ONG locales</w:t>
      </w:r>
      <w:r w:rsidR="00C13D7E" w:rsidRPr="0034205F">
        <w:rPr>
          <w:b/>
        </w:rPr>
        <w:t>.</w:t>
      </w:r>
    </w:p>
    <w:p w14:paraId="5D53A7B5" w14:textId="375C685E" w:rsidR="00637C40" w:rsidRPr="00637C40" w:rsidRDefault="001315EB" w:rsidP="00C13D7E">
      <w:pPr>
        <w:pStyle w:val="Soustitre1"/>
      </w:pPr>
      <w:bookmarkStart w:id="26" w:name="_Toc60939087"/>
      <w:r w:rsidRPr="00C63C18">
        <w:lastRenderedPageBreak/>
        <w:t>Lignes directrices détaillées</w:t>
      </w:r>
      <w:bookmarkEnd w:id="26"/>
      <w:r w:rsidRPr="00C63C18">
        <w:t xml:space="preserve"> </w:t>
      </w:r>
      <w:bookmarkStart w:id="27" w:name="_Toc59093177"/>
      <w:bookmarkStart w:id="28" w:name="_Toc59093768"/>
      <w:bookmarkStart w:id="29" w:name="_Toc59094192"/>
      <w:bookmarkStart w:id="30" w:name="_Toc59094249"/>
      <w:bookmarkStart w:id="31" w:name="_Toc59095226"/>
      <w:bookmarkStart w:id="32" w:name="_Toc59107521"/>
      <w:bookmarkStart w:id="33" w:name="_Toc59118480"/>
      <w:bookmarkStart w:id="34" w:name="_Toc59119019"/>
      <w:bookmarkStart w:id="35" w:name="_Toc59119144"/>
      <w:bookmarkStart w:id="36" w:name="_Toc59119280"/>
      <w:bookmarkStart w:id="37" w:name="_Toc59094193"/>
      <w:bookmarkStart w:id="38" w:name="_Toc59094250"/>
      <w:bookmarkStart w:id="39" w:name="_Toc59095227"/>
      <w:bookmarkStart w:id="40" w:name="_Toc59107522"/>
      <w:bookmarkStart w:id="41" w:name="_Toc59118481"/>
      <w:bookmarkStart w:id="42" w:name="_Toc59119020"/>
      <w:bookmarkStart w:id="43" w:name="_Toc59119145"/>
      <w:bookmarkStart w:id="44" w:name="_Toc59119281"/>
      <w:bookmarkStart w:id="45" w:name="_Toc59094194"/>
      <w:bookmarkStart w:id="46" w:name="_Toc59094251"/>
      <w:bookmarkStart w:id="47" w:name="_Toc59095228"/>
      <w:bookmarkStart w:id="48" w:name="_Toc59107523"/>
      <w:bookmarkStart w:id="49" w:name="_Toc59118482"/>
      <w:bookmarkStart w:id="50" w:name="_Toc59119021"/>
      <w:bookmarkStart w:id="51" w:name="_Toc59119146"/>
      <w:bookmarkStart w:id="52" w:name="_Toc59119282"/>
      <w:bookmarkStart w:id="53" w:name="_Toc59094195"/>
      <w:bookmarkStart w:id="54" w:name="_Toc59094252"/>
      <w:bookmarkStart w:id="55" w:name="_Toc59095229"/>
      <w:bookmarkStart w:id="56" w:name="_Toc59107524"/>
      <w:bookmarkStart w:id="57" w:name="_Toc59118483"/>
      <w:bookmarkStart w:id="58" w:name="_Toc59119022"/>
      <w:bookmarkStart w:id="59" w:name="_Toc59119147"/>
      <w:bookmarkStart w:id="60" w:name="_Toc59119283"/>
      <w:bookmarkStart w:id="61" w:name="_Toc59094196"/>
      <w:bookmarkStart w:id="62" w:name="_Toc59094253"/>
      <w:bookmarkStart w:id="63" w:name="_Toc59095230"/>
      <w:bookmarkStart w:id="64" w:name="_Toc59107525"/>
      <w:bookmarkStart w:id="65" w:name="_Toc59118484"/>
      <w:bookmarkStart w:id="66" w:name="_Toc59119023"/>
      <w:bookmarkStart w:id="67" w:name="_Toc59119148"/>
      <w:bookmarkStart w:id="68" w:name="_Toc59119284"/>
      <w:bookmarkStart w:id="69" w:name="_Toc59094197"/>
      <w:bookmarkStart w:id="70" w:name="_Toc59094254"/>
      <w:bookmarkStart w:id="71" w:name="_Toc59095231"/>
      <w:bookmarkStart w:id="72" w:name="_Toc59107526"/>
      <w:bookmarkStart w:id="73" w:name="_Toc59118485"/>
      <w:bookmarkStart w:id="74" w:name="_Toc59119024"/>
      <w:bookmarkStart w:id="75" w:name="_Toc59119149"/>
      <w:bookmarkStart w:id="76" w:name="_Toc59119285"/>
      <w:bookmarkStart w:id="77" w:name="_Toc59094198"/>
      <w:bookmarkStart w:id="78" w:name="_Toc59094255"/>
      <w:bookmarkStart w:id="79" w:name="_Toc59095232"/>
      <w:bookmarkStart w:id="80" w:name="_Toc59107527"/>
      <w:bookmarkStart w:id="81" w:name="_Toc59118486"/>
      <w:bookmarkStart w:id="82" w:name="_Toc59119025"/>
      <w:bookmarkStart w:id="83" w:name="_Toc59119150"/>
      <w:bookmarkStart w:id="84" w:name="_Toc5911928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919BE0D" w14:textId="395ABB06" w:rsidR="001315EB" w:rsidRPr="001315EB" w:rsidRDefault="001315EB" w:rsidP="00104095">
      <w:pPr>
        <w:pStyle w:val="Soussoustitre"/>
        <w:numPr>
          <w:ilvl w:val="2"/>
          <w:numId w:val="11"/>
        </w:numPr>
        <w:rPr>
          <w:bCs/>
          <w:smallCaps/>
        </w:rPr>
      </w:pPr>
      <w:bookmarkStart w:id="85" w:name="_Toc59094199"/>
      <w:bookmarkStart w:id="86" w:name="_Toc59094256"/>
      <w:bookmarkStart w:id="87" w:name="_Toc60939088"/>
      <w:r w:rsidRPr="001315EB">
        <w:t>Cadre d’intervention</w:t>
      </w:r>
      <w:bookmarkEnd w:id="85"/>
      <w:bookmarkEnd w:id="86"/>
      <w:bookmarkEnd w:id="87"/>
    </w:p>
    <w:p w14:paraId="7B9CE644" w14:textId="3960D1D1" w:rsidR="00F06C58" w:rsidRPr="00D13019" w:rsidRDefault="00F06C58" w:rsidP="00F06C58">
      <w:r w:rsidRPr="00D13019">
        <w:t xml:space="preserve">Les porteurs et porteuses de projets sont invités à clairement préciser : </w:t>
      </w:r>
    </w:p>
    <w:p w14:paraId="4D3AADF9" w14:textId="543A285B" w:rsidR="00F06C58" w:rsidRPr="00D13019" w:rsidRDefault="00F06C58" w:rsidP="00BF6A65">
      <w:pPr>
        <w:pStyle w:val="Paragraphedeliste"/>
        <w:numPr>
          <w:ilvl w:val="0"/>
          <w:numId w:val="1"/>
        </w:numPr>
        <w:spacing w:after="0" w:line="240" w:lineRule="auto"/>
        <w:contextualSpacing w:val="0"/>
        <w:jc w:val="both"/>
      </w:pPr>
      <w:r w:rsidRPr="00D13019">
        <w:t xml:space="preserve">Les objectifs, en termes de </w:t>
      </w:r>
      <w:r w:rsidR="001315EB">
        <w:t>réduction des V</w:t>
      </w:r>
      <w:r w:rsidR="003B067A">
        <w:t>O</w:t>
      </w:r>
      <w:r w:rsidR="001315EB">
        <w:t>G</w:t>
      </w:r>
      <w:r w:rsidRPr="00D13019">
        <w:t>, ciblés par le projet ;</w:t>
      </w:r>
    </w:p>
    <w:p w14:paraId="5F30F941" w14:textId="77777777" w:rsidR="00F06C58" w:rsidRPr="00D13019" w:rsidRDefault="00F06C58" w:rsidP="00BF6A65">
      <w:pPr>
        <w:pStyle w:val="Paragraphedeliste"/>
        <w:numPr>
          <w:ilvl w:val="0"/>
          <w:numId w:val="1"/>
        </w:numPr>
        <w:spacing w:after="0" w:line="240" w:lineRule="auto"/>
        <w:contextualSpacing w:val="0"/>
        <w:jc w:val="both"/>
      </w:pPr>
      <w:r w:rsidRPr="00D13019">
        <w:t>Les types de participation envisagés ;</w:t>
      </w:r>
    </w:p>
    <w:p w14:paraId="74D71D9C" w14:textId="77777777" w:rsidR="00F06C58" w:rsidRPr="00D13019" w:rsidRDefault="00F06C58" w:rsidP="00BF6A65">
      <w:pPr>
        <w:pStyle w:val="Paragraphedeliste"/>
        <w:numPr>
          <w:ilvl w:val="0"/>
          <w:numId w:val="1"/>
        </w:numPr>
        <w:spacing w:after="0" w:line="240" w:lineRule="auto"/>
        <w:contextualSpacing w:val="0"/>
        <w:jc w:val="both"/>
      </w:pPr>
      <w:r w:rsidRPr="00D13019">
        <w:t>La ou les échelle(s) d’intervention du projet ;</w:t>
      </w:r>
    </w:p>
    <w:p w14:paraId="7B97D232" w14:textId="270004B0" w:rsidR="00F06C58" w:rsidRPr="00D13019" w:rsidRDefault="00F06C58" w:rsidP="00BF6A65">
      <w:pPr>
        <w:pStyle w:val="Paragraphedeliste"/>
        <w:numPr>
          <w:ilvl w:val="0"/>
          <w:numId w:val="1"/>
        </w:numPr>
        <w:spacing w:after="0" w:line="240" w:lineRule="auto"/>
        <w:contextualSpacing w:val="0"/>
        <w:jc w:val="both"/>
      </w:pPr>
      <w:r w:rsidRPr="00D13019">
        <w:t>Les différentes parties prenantes du projet, en v</w:t>
      </w:r>
      <w:r w:rsidR="001315EB">
        <w:t xml:space="preserve">eillant à inclure </w:t>
      </w:r>
      <w:r w:rsidR="00DB3399">
        <w:t xml:space="preserve">l’ensemble des acteurs </w:t>
      </w:r>
      <w:r w:rsidR="003B067A">
        <w:t xml:space="preserve">et actrices </w:t>
      </w:r>
      <w:r w:rsidR="00DB3399">
        <w:t>concerné</w:t>
      </w:r>
      <w:r w:rsidR="003B067A">
        <w:t>.e</w:t>
      </w:r>
      <w:r w:rsidR="00DB3399">
        <w:t>s par la problématique</w:t>
      </w:r>
      <w:r w:rsidR="00CB0FE9">
        <w:t>.</w:t>
      </w:r>
    </w:p>
    <w:p w14:paraId="0A67B0FE" w14:textId="562B13E2" w:rsidR="00F06C58" w:rsidRPr="00C62EEC" w:rsidRDefault="00D34B83" w:rsidP="00104095">
      <w:pPr>
        <w:pStyle w:val="Soussoustitre"/>
        <w:numPr>
          <w:ilvl w:val="2"/>
          <w:numId w:val="11"/>
        </w:numPr>
      </w:pPr>
      <w:bookmarkStart w:id="88" w:name="_Toc59094200"/>
      <w:bookmarkStart w:id="89" w:name="_Toc59094257"/>
      <w:bookmarkStart w:id="90" w:name="_Toc60939089"/>
      <w:r w:rsidRPr="00D34B83">
        <w:t xml:space="preserve">Analyse des risques : </w:t>
      </w:r>
      <w:r>
        <w:t>les obstacles à la réduction des VG</w:t>
      </w:r>
      <w:r w:rsidR="003B067A">
        <w:t>O</w:t>
      </w:r>
      <w:bookmarkEnd w:id="88"/>
      <w:bookmarkEnd w:id="89"/>
      <w:bookmarkEnd w:id="90"/>
      <w:r>
        <w:t xml:space="preserve"> </w:t>
      </w:r>
    </w:p>
    <w:p w14:paraId="46FDB83F" w14:textId="4DA6A35C" w:rsidR="00DB3399" w:rsidRDefault="00D34B83" w:rsidP="00D34B83">
      <w:r>
        <w:t xml:space="preserve">Les </w:t>
      </w:r>
      <w:r w:rsidRPr="000F3254">
        <w:t xml:space="preserve">obstacles à la </w:t>
      </w:r>
      <w:r>
        <w:t>réduction des VG</w:t>
      </w:r>
      <w:r w:rsidR="003B067A">
        <w:t>O</w:t>
      </w:r>
      <w:r w:rsidRPr="000F3254">
        <w:t xml:space="preserve"> </w:t>
      </w:r>
      <w:r>
        <w:t xml:space="preserve">sont nombreux. </w:t>
      </w:r>
    </w:p>
    <w:p w14:paraId="0E9216AA" w14:textId="77777777" w:rsidR="00D34B83" w:rsidRDefault="00DB3399" w:rsidP="00D34B83">
      <w:r>
        <w:t xml:space="preserve">Les risques possibles </w:t>
      </w:r>
      <w:r w:rsidR="00CB0FE9">
        <w:t xml:space="preserve">identifiés </w:t>
      </w:r>
      <w:r>
        <w:t>du côté</w:t>
      </w:r>
      <w:r w:rsidR="00D34B83">
        <w:t xml:space="preserve"> des institutions</w:t>
      </w:r>
      <w:r w:rsidR="00CB0FE9">
        <w:t xml:space="preserve"> sont les suivants</w:t>
      </w:r>
      <w:r w:rsidR="00D34B83">
        <w:t xml:space="preserve"> </w:t>
      </w:r>
      <w:r w:rsidR="00D34B83" w:rsidRPr="000F3254">
        <w:t>:</w:t>
      </w:r>
      <w:r w:rsidR="00D34B83">
        <w:t xml:space="preserve"> </w:t>
      </w:r>
    </w:p>
    <w:p w14:paraId="157C4011" w14:textId="77777777" w:rsidR="00D34B83" w:rsidRDefault="00CB0FE9" w:rsidP="00BF6A65">
      <w:pPr>
        <w:pStyle w:val="Paragraphedeliste"/>
        <w:numPr>
          <w:ilvl w:val="0"/>
          <w:numId w:val="6"/>
        </w:numPr>
        <w:spacing w:after="0" w:line="240" w:lineRule="auto"/>
        <w:contextualSpacing w:val="0"/>
        <w:jc w:val="both"/>
      </w:pPr>
      <w:r>
        <w:t>M</w:t>
      </w:r>
      <w:r w:rsidR="00D34B83">
        <w:t>anque d’implication politique ;</w:t>
      </w:r>
    </w:p>
    <w:p w14:paraId="5AB28A84" w14:textId="77777777" w:rsidR="00D34B83" w:rsidRPr="009924BE" w:rsidRDefault="00CB0FE9" w:rsidP="00BF6A65">
      <w:pPr>
        <w:pStyle w:val="Paragraphedeliste"/>
        <w:numPr>
          <w:ilvl w:val="0"/>
          <w:numId w:val="6"/>
        </w:numPr>
        <w:spacing w:after="0" w:line="240" w:lineRule="auto"/>
        <w:contextualSpacing w:val="0"/>
        <w:jc w:val="both"/>
      </w:pPr>
      <w:r>
        <w:t>C</w:t>
      </w:r>
      <w:r w:rsidR="00D34B83" w:rsidRPr="009924BE">
        <w:t>adre institutionnel insuffisant</w:t>
      </w:r>
      <w:r w:rsidR="00D34B83">
        <w:t> ;</w:t>
      </w:r>
    </w:p>
    <w:p w14:paraId="0E78C897" w14:textId="77777777" w:rsidR="00D34B83" w:rsidRPr="009924BE" w:rsidRDefault="00CB0FE9" w:rsidP="00BF6A65">
      <w:pPr>
        <w:pStyle w:val="Paragraphedeliste"/>
        <w:numPr>
          <w:ilvl w:val="0"/>
          <w:numId w:val="6"/>
        </w:numPr>
        <w:spacing w:after="0" w:line="240" w:lineRule="auto"/>
        <w:contextualSpacing w:val="0"/>
        <w:jc w:val="both"/>
      </w:pPr>
      <w:r>
        <w:t>A</w:t>
      </w:r>
      <w:r w:rsidR="00D34B83">
        <w:t>b</w:t>
      </w:r>
      <w:r w:rsidR="00D34B83" w:rsidRPr="009924BE">
        <w:t xml:space="preserve">sence ou </w:t>
      </w:r>
      <w:r w:rsidR="00D34B83">
        <w:t xml:space="preserve">dysfonctionnement </w:t>
      </w:r>
      <w:r w:rsidR="00D34B83" w:rsidRPr="009924BE">
        <w:t>des cadres de dialogue</w:t>
      </w:r>
      <w:r w:rsidR="00D34B83">
        <w:t> ;</w:t>
      </w:r>
    </w:p>
    <w:p w14:paraId="4AB40C24" w14:textId="77777777" w:rsidR="00D34B83" w:rsidRPr="009924BE" w:rsidRDefault="00CB0FE9" w:rsidP="00BF6A65">
      <w:pPr>
        <w:pStyle w:val="Paragraphedeliste"/>
        <w:numPr>
          <w:ilvl w:val="0"/>
          <w:numId w:val="6"/>
        </w:numPr>
        <w:spacing w:after="0" w:line="240" w:lineRule="auto"/>
        <w:contextualSpacing w:val="0"/>
        <w:jc w:val="both"/>
      </w:pPr>
      <w:r>
        <w:t>M</w:t>
      </w:r>
      <w:r w:rsidR="00D34B83" w:rsidRPr="009924BE">
        <w:t>anque de diffusion de l’information</w:t>
      </w:r>
      <w:r w:rsidR="00D34B83">
        <w:t> ;</w:t>
      </w:r>
    </w:p>
    <w:p w14:paraId="78429F43" w14:textId="0CD5ED99" w:rsidR="00D34B83" w:rsidRPr="00372AFB" w:rsidRDefault="003B067A" w:rsidP="00BF6A65">
      <w:pPr>
        <w:pStyle w:val="Paragraphedeliste"/>
        <w:numPr>
          <w:ilvl w:val="0"/>
          <w:numId w:val="6"/>
        </w:numPr>
        <w:spacing w:after="0" w:line="240" w:lineRule="auto"/>
        <w:contextualSpacing w:val="0"/>
        <w:jc w:val="both"/>
      </w:pPr>
      <w:r>
        <w:t>N</w:t>
      </w:r>
      <w:r w:rsidR="00D34B83" w:rsidRPr="00372AFB">
        <w:t>on</w:t>
      </w:r>
      <w:r w:rsidR="00D34B83">
        <w:t>-</w:t>
      </w:r>
      <w:r w:rsidR="00D34B83" w:rsidRPr="00372AFB">
        <w:t>pérennisation des démarches engagées ;</w:t>
      </w:r>
    </w:p>
    <w:p w14:paraId="16C8AC0C" w14:textId="0500AB3A" w:rsidR="00D34B83" w:rsidRDefault="003B067A" w:rsidP="00BF6A65">
      <w:pPr>
        <w:pStyle w:val="Paragraphedeliste"/>
        <w:numPr>
          <w:ilvl w:val="0"/>
          <w:numId w:val="6"/>
        </w:numPr>
        <w:spacing w:after="0" w:line="240" w:lineRule="auto"/>
        <w:contextualSpacing w:val="0"/>
        <w:jc w:val="both"/>
      </w:pPr>
      <w:r>
        <w:t>M</w:t>
      </w:r>
      <w:r w:rsidR="00CB0FE9">
        <w:t>anque</w:t>
      </w:r>
      <w:r w:rsidR="00D34B83" w:rsidRPr="009924BE">
        <w:t xml:space="preserve"> de données fiables et complètes sur les </w:t>
      </w:r>
      <w:r w:rsidR="00354C4D">
        <w:t>VG</w:t>
      </w:r>
      <w:r>
        <w:t>O ;</w:t>
      </w:r>
    </w:p>
    <w:p w14:paraId="525A1C20" w14:textId="688579D6" w:rsidR="009B2ED4" w:rsidRDefault="009B2ED4" w:rsidP="00BF6A65">
      <w:pPr>
        <w:pStyle w:val="Paragraphedeliste"/>
        <w:numPr>
          <w:ilvl w:val="0"/>
          <w:numId w:val="6"/>
        </w:numPr>
        <w:spacing w:after="0" w:line="240" w:lineRule="auto"/>
        <w:contextualSpacing w:val="0"/>
        <w:jc w:val="both"/>
      </w:pPr>
      <w:r>
        <w:t>Absence de formation sur les VGO dans les cycles de formation des études médicales et para-médicales (voire des études juridiques)</w:t>
      </w:r>
      <w:r w:rsidR="003B067A">
        <w:t> ;</w:t>
      </w:r>
    </w:p>
    <w:p w14:paraId="794342C9" w14:textId="01C470A5" w:rsidR="009B2ED4" w:rsidRDefault="009B2ED4" w:rsidP="00BF6A65">
      <w:pPr>
        <w:pStyle w:val="Paragraphedeliste"/>
        <w:numPr>
          <w:ilvl w:val="0"/>
          <w:numId w:val="6"/>
        </w:numPr>
        <w:spacing w:after="0" w:line="240" w:lineRule="auto"/>
        <w:contextualSpacing w:val="0"/>
        <w:jc w:val="both"/>
      </w:pPr>
      <w:r>
        <w:t xml:space="preserve">Absence de parité dans les étages supérieurs de la pyramide sanitaire (professeur.e, chef.fe de clinique et de service, </w:t>
      </w:r>
      <w:r w:rsidR="00155B94">
        <w:t>d</w:t>
      </w:r>
      <w:r>
        <w:t>irecteur.trice d’établissement hospitalier</w:t>
      </w:r>
      <w:r w:rsidR="003B067A">
        <w:t>).</w:t>
      </w:r>
    </w:p>
    <w:p w14:paraId="2B7D05F4" w14:textId="77777777" w:rsidR="00CB0FE9" w:rsidRPr="00CB0FE9" w:rsidRDefault="00CB0FE9" w:rsidP="00CB0FE9">
      <w:pPr>
        <w:pStyle w:val="Paragraphedeliste"/>
        <w:spacing w:after="0" w:line="240" w:lineRule="auto"/>
        <w:contextualSpacing w:val="0"/>
        <w:jc w:val="both"/>
      </w:pPr>
    </w:p>
    <w:p w14:paraId="765A20F4" w14:textId="6822080F" w:rsidR="00DB3399" w:rsidRPr="00651E2E" w:rsidRDefault="00DB3399" w:rsidP="00651E2E">
      <w:r w:rsidRPr="00651E2E">
        <w:t>Les risques possible</w:t>
      </w:r>
      <w:r w:rsidR="00651E2E" w:rsidRPr="00651E2E">
        <w:t xml:space="preserve">s du côté </w:t>
      </w:r>
      <w:r w:rsidR="00651E2E">
        <w:t>des soignant.es et des soignées</w:t>
      </w:r>
      <w:r w:rsidR="00651E2E" w:rsidRPr="00651E2E">
        <w:t xml:space="preserve"> : </w:t>
      </w:r>
      <w:r w:rsidRPr="00651E2E">
        <w:t xml:space="preserve"> </w:t>
      </w:r>
    </w:p>
    <w:p w14:paraId="7AAF1D22" w14:textId="77777777" w:rsidR="00651E2E" w:rsidRDefault="00651E2E" w:rsidP="00BF6A65">
      <w:pPr>
        <w:pStyle w:val="Paragraphedeliste"/>
        <w:numPr>
          <w:ilvl w:val="0"/>
          <w:numId w:val="6"/>
        </w:numPr>
        <w:spacing w:before="240"/>
        <w:jc w:val="both"/>
      </w:pPr>
      <w:r>
        <w:t>Manque d’adhésion de la communauté et du personnel soignant</w:t>
      </w:r>
      <w:r w:rsidR="00CB0FE9">
        <w:t> ;</w:t>
      </w:r>
    </w:p>
    <w:p w14:paraId="2AFDA228" w14:textId="7C9C2866" w:rsidR="00651E2E" w:rsidRDefault="00651E2E" w:rsidP="00BF6A65">
      <w:pPr>
        <w:pStyle w:val="Paragraphedeliste"/>
        <w:numPr>
          <w:ilvl w:val="0"/>
          <w:numId w:val="6"/>
        </w:numPr>
        <w:spacing w:before="240"/>
        <w:jc w:val="both"/>
      </w:pPr>
      <w:r>
        <w:t>Echec à la création d’un cadre de confianc</w:t>
      </w:r>
      <w:r w:rsidR="00CB0FE9">
        <w:t>e indispensable au projet</w:t>
      </w:r>
      <w:r w:rsidR="003B067A">
        <w:t> ;</w:t>
      </w:r>
    </w:p>
    <w:p w14:paraId="6678E5CE" w14:textId="146469DB" w:rsidR="009B2ED4" w:rsidRDefault="009B2ED4" w:rsidP="00BF6A65">
      <w:pPr>
        <w:pStyle w:val="Paragraphedeliste"/>
        <w:numPr>
          <w:ilvl w:val="0"/>
          <w:numId w:val="6"/>
        </w:numPr>
        <w:spacing w:before="240"/>
        <w:jc w:val="both"/>
      </w:pPr>
      <w:r>
        <w:t xml:space="preserve">Absence de champion.nes et de </w:t>
      </w:r>
      <w:r w:rsidR="003D2852">
        <w:t>rôle</w:t>
      </w:r>
      <w:r>
        <w:t xml:space="preserve"> mod</w:t>
      </w:r>
      <w:r w:rsidR="003D2852">
        <w:t>èle</w:t>
      </w:r>
      <w:r>
        <w:t xml:space="preserve"> sur ces sujets au sein des institutions/organisations de santé</w:t>
      </w:r>
      <w:r w:rsidR="003B067A">
        <w:t>.</w:t>
      </w:r>
    </w:p>
    <w:p w14:paraId="5F42954C" w14:textId="77777777" w:rsidR="00651E2E" w:rsidRDefault="00651E2E" w:rsidP="00651E2E">
      <w:pPr>
        <w:spacing w:before="240"/>
        <w:jc w:val="both"/>
      </w:pPr>
      <w:r>
        <w:t xml:space="preserve">Les risques opérationnels : </w:t>
      </w:r>
    </w:p>
    <w:p w14:paraId="18666A5D" w14:textId="1CD99779" w:rsidR="00651E2E" w:rsidRDefault="00651E2E" w:rsidP="00BF6A65">
      <w:pPr>
        <w:pStyle w:val="Paragraphedeliste"/>
        <w:numPr>
          <w:ilvl w:val="0"/>
          <w:numId w:val="6"/>
        </w:numPr>
        <w:spacing w:before="240"/>
        <w:jc w:val="both"/>
      </w:pPr>
      <w:r>
        <w:t>Se concentrer sur le suivi obstétri</w:t>
      </w:r>
      <w:r w:rsidR="00730D9E">
        <w:t>cal</w:t>
      </w:r>
      <w:r>
        <w:t xml:space="preserve"> </w:t>
      </w:r>
      <w:r w:rsidR="001C1056">
        <w:t>sans intégrer</w:t>
      </w:r>
      <w:r>
        <w:t xml:space="preserve"> i) le suivi gynécologique </w:t>
      </w:r>
      <w:r w:rsidR="00CB0FE9">
        <w:t xml:space="preserve">et </w:t>
      </w:r>
      <w:r>
        <w:t xml:space="preserve">ii) les violences qui peuvent </w:t>
      </w:r>
      <w:r w:rsidR="001C1056">
        <w:t>en découler</w:t>
      </w:r>
      <w:r w:rsidR="00CB0FE9">
        <w:t> ;</w:t>
      </w:r>
      <w:r>
        <w:t xml:space="preserve"> </w:t>
      </w:r>
    </w:p>
    <w:p w14:paraId="2C0B3EE3" w14:textId="7B84DB64" w:rsidR="00651E2E" w:rsidRDefault="00CB0FE9" w:rsidP="00BF6A65">
      <w:pPr>
        <w:pStyle w:val="Paragraphedeliste"/>
        <w:numPr>
          <w:ilvl w:val="0"/>
          <w:numId w:val="6"/>
        </w:numPr>
        <w:spacing w:before="240"/>
        <w:jc w:val="both"/>
      </w:pPr>
      <w:r>
        <w:t>Se concentrer</w:t>
      </w:r>
      <w:r w:rsidR="005B36C8">
        <w:t xml:space="preserve"> uniquement</w:t>
      </w:r>
      <w:r>
        <w:t xml:space="preserve"> sur</w:t>
      </w:r>
      <w:r w:rsidR="00651E2E">
        <w:t xml:space="preserve"> la </w:t>
      </w:r>
      <w:r>
        <w:t>formation du personnel soignant et</w:t>
      </w:r>
      <w:r w:rsidR="00651E2E">
        <w:t xml:space="preserve"> l</w:t>
      </w:r>
      <w:r>
        <w:t>’équipement des structures</w:t>
      </w:r>
      <w:r w:rsidR="005B36C8">
        <w:t>.</w:t>
      </w:r>
      <w:r w:rsidR="00651E2E">
        <w:t xml:space="preserve"> </w:t>
      </w:r>
      <w:r w:rsidR="005B36C8">
        <w:t>S</w:t>
      </w:r>
      <w:r w:rsidR="00651E2E" w:rsidRPr="00651E2E">
        <w:t>ans remettre en cause la pert</w:t>
      </w:r>
      <w:r>
        <w:t>inence de ces investissements</w:t>
      </w:r>
      <w:r w:rsidR="005B36C8">
        <w:t>, i</w:t>
      </w:r>
      <w:r w:rsidR="00651E2E" w:rsidRPr="00651E2E">
        <w:t xml:space="preserve">ls ne permettent pas </w:t>
      </w:r>
      <w:r w:rsidR="00651E2E">
        <w:t xml:space="preserve">à eux seuls </w:t>
      </w:r>
      <w:r w:rsidR="00651E2E" w:rsidRPr="00651E2E">
        <w:t>l’amélioration du ressenti et de l’expérience du soin par les femmes.</w:t>
      </w:r>
    </w:p>
    <w:p w14:paraId="467860C8" w14:textId="23B375FE" w:rsidR="00354C4D" w:rsidRDefault="00354C4D" w:rsidP="00354C4D">
      <w:pPr>
        <w:jc w:val="both"/>
      </w:pPr>
      <w:r>
        <w:t>La proposition de projet qualifiera et analysera ces d</w:t>
      </w:r>
      <w:r w:rsidR="00651E2E">
        <w:t xml:space="preserve">ifférents obstacles potentiels </w:t>
      </w:r>
      <w:r>
        <w:t>dans le contexte spécifique de l’intervention. Des mesures de prise en compte de ces obstacles, qui constituent autant de risques pour le bon déroulement du projet, seront également proposées.</w:t>
      </w:r>
    </w:p>
    <w:p w14:paraId="31B8DF8A" w14:textId="59FA95C9" w:rsidR="00BF3E16" w:rsidRDefault="00C62EEC" w:rsidP="004262E8">
      <w:pPr>
        <w:pStyle w:val="Soustitre1"/>
        <w:numPr>
          <w:ilvl w:val="1"/>
          <w:numId w:val="12"/>
        </w:numPr>
      </w:pPr>
      <w:bookmarkStart w:id="91" w:name="_Toc60939090"/>
      <w:r>
        <w:lastRenderedPageBreak/>
        <w:t>Evaluation et capitalisation</w:t>
      </w:r>
      <w:bookmarkEnd w:id="91"/>
    </w:p>
    <w:p w14:paraId="6599DB36" w14:textId="77777777" w:rsidR="00BF3E16" w:rsidRPr="00BF3E16" w:rsidRDefault="00BF3E16" w:rsidP="00104095">
      <w:pPr>
        <w:pStyle w:val="Soustitre1"/>
        <w:rPr>
          <w:rFonts w:ascii="Arial" w:hAnsi="Arial"/>
          <w:b w:val="0"/>
          <w:bCs w:val="0"/>
          <w:i/>
          <w:iCs w:val="0"/>
          <w:smallCaps/>
          <w:vanish/>
          <w:sz w:val="28"/>
          <w:szCs w:val="28"/>
        </w:rPr>
      </w:pPr>
      <w:bookmarkStart w:id="92" w:name="_Toc59119981"/>
      <w:bookmarkStart w:id="93" w:name="_Toc59120179"/>
      <w:bookmarkStart w:id="94" w:name="_Toc60907024"/>
      <w:bookmarkStart w:id="95" w:name="_Toc60936430"/>
      <w:bookmarkStart w:id="96" w:name="_Toc60939091"/>
      <w:bookmarkEnd w:id="92"/>
      <w:bookmarkEnd w:id="93"/>
      <w:bookmarkEnd w:id="94"/>
      <w:bookmarkEnd w:id="95"/>
      <w:bookmarkEnd w:id="96"/>
    </w:p>
    <w:p w14:paraId="4F4F366D" w14:textId="77777777" w:rsidR="00BF3E16" w:rsidRPr="00BF3E16" w:rsidRDefault="00BF3E16" w:rsidP="00104095">
      <w:pPr>
        <w:pStyle w:val="Soustitre1"/>
        <w:rPr>
          <w:rFonts w:ascii="Arial" w:hAnsi="Arial"/>
          <w:b w:val="0"/>
          <w:bCs w:val="0"/>
          <w:i/>
          <w:iCs w:val="0"/>
          <w:smallCaps/>
          <w:vanish/>
          <w:sz w:val="28"/>
          <w:szCs w:val="28"/>
        </w:rPr>
      </w:pPr>
      <w:bookmarkStart w:id="97" w:name="_Toc59119982"/>
      <w:bookmarkStart w:id="98" w:name="_Toc59120180"/>
      <w:bookmarkStart w:id="99" w:name="_Toc60907025"/>
      <w:bookmarkStart w:id="100" w:name="_Toc60936431"/>
      <w:bookmarkStart w:id="101" w:name="_Toc60939092"/>
      <w:bookmarkEnd w:id="97"/>
      <w:bookmarkEnd w:id="98"/>
      <w:bookmarkEnd w:id="99"/>
      <w:bookmarkEnd w:id="100"/>
      <w:bookmarkEnd w:id="101"/>
    </w:p>
    <w:p w14:paraId="53063BC4" w14:textId="77777777" w:rsidR="00BF3E16" w:rsidRPr="00BF3E16" w:rsidRDefault="00BF3E16" w:rsidP="00104095">
      <w:pPr>
        <w:pStyle w:val="Soustitre1"/>
        <w:rPr>
          <w:rFonts w:ascii="Arial" w:hAnsi="Arial"/>
          <w:b w:val="0"/>
          <w:bCs w:val="0"/>
          <w:i/>
          <w:iCs w:val="0"/>
          <w:smallCaps/>
          <w:vanish/>
          <w:sz w:val="28"/>
          <w:szCs w:val="28"/>
        </w:rPr>
      </w:pPr>
      <w:bookmarkStart w:id="102" w:name="_Toc59119983"/>
      <w:bookmarkStart w:id="103" w:name="_Toc59120181"/>
      <w:bookmarkStart w:id="104" w:name="_Toc60907026"/>
      <w:bookmarkStart w:id="105" w:name="_Toc60936432"/>
      <w:bookmarkStart w:id="106" w:name="_Toc60939093"/>
      <w:bookmarkEnd w:id="102"/>
      <w:bookmarkEnd w:id="103"/>
      <w:bookmarkEnd w:id="104"/>
      <w:bookmarkEnd w:id="105"/>
      <w:bookmarkEnd w:id="106"/>
    </w:p>
    <w:p w14:paraId="70851636" w14:textId="77777777" w:rsidR="00104095" w:rsidRPr="00104095" w:rsidRDefault="00104095" w:rsidP="00104095">
      <w:pPr>
        <w:pStyle w:val="Paragraphedeliste"/>
        <w:keepNext/>
        <w:numPr>
          <w:ilvl w:val="1"/>
          <w:numId w:val="11"/>
        </w:numPr>
        <w:spacing w:before="240" w:after="240" w:line="240" w:lineRule="auto"/>
        <w:contextualSpacing w:val="0"/>
        <w:jc w:val="both"/>
        <w:outlineLvl w:val="2"/>
        <w:rPr>
          <w:b/>
          <w:vanish/>
          <w:color w:val="000000"/>
        </w:rPr>
      </w:pPr>
    </w:p>
    <w:p w14:paraId="7A87C774" w14:textId="23DD013C" w:rsidR="00BF3E16" w:rsidRPr="00104095" w:rsidRDefault="00BF3E16" w:rsidP="0021164D">
      <w:pPr>
        <w:pStyle w:val="Soussoustitre"/>
        <w:numPr>
          <w:ilvl w:val="2"/>
          <w:numId w:val="11"/>
        </w:numPr>
        <w:rPr>
          <w:rFonts w:ascii="Calibri" w:hAnsi="Calibri"/>
          <w:rPrChange w:id="107" w:author="PINHAS Rebecca" w:date="2020-12-17T17:17:00Z">
            <w:rPr/>
          </w:rPrChange>
        </w:rPr>
      </w:pPr>
      <w:bookmarkStart w:id="108" w:name="_Toc60939094"/>
      <w:r w:rsidRPr="00104095">
        <w:t>Suivi-évaluation</w:t>
      </w:r>
      <w:bookmarkEnd w:id="108"/>
    </w:p>
    <w:p w14:paraId="389C492C" w14:textId="5EF8C41D" w:rsidR="00E32347" w:rsidRDefault="00BF3E16" w:rsidP="00FB2D32">
      <w:pPr>
        <w:jc w:val="both"/>
      </w:pPr>
      <w:r>
        <w:t xml:space="preserve">Les ONG proposeront un dispositif de suivi-évaluation des activités qu’elles entendent mettre en œuvre. </w:t>
      </w:r>
      <w:r w:rsidR="00BE1268">
        <w:t>Ce dispositif s’appu</w:t>
      </w:r>
      <w:r w:rsidR="007609A6">
        <w:t>i</w:t>
      </w:r>
      <w:r w:rsidR="00BE1268">
        <w:t>er</w:t>
      </w:r>
      <w:r w:rsidR="007609A6">
        <w:t>a</w:t>
      </w:r>
      <w:r w:rsidR="00BE1268">
        <w:t xml:space="preserve"> sur des données quantitatives mais </w:t>
      </w:r>
      <w:r w:rsidR="007609A6">
        <w:t xml:space="preserve">pourra </w:t>
      </w:r>
      <w:r w:rsidR="00BE1268">
        <w:t xml:space="preserve">aussi </w:t>
      </w:r>
      <w:r w:rsidR="007609A6">
        <w:t xml:space="preserve">éventuellement s’appuyer sur des données </w:t>
      </w:r>
      <w:r w:rsidR="00BE1268">
        <w:t xml:space="preserve">qualitatives. </w:t>
      </w:r>
      <w:r w:rsidR="00FB2D32">
        <w:t>Les ONG</w:t>
      </w:r>
      <w:r w:rsidR="002A213B">
        <w:t xml:space="preserve"> sont invitées</w:t>
      </w:r>
      <w:r w:rsidR="004C1A80">
        <w:t xml:space="preserve"> tout d’abord</w:t>
      </w:r>
      <w:r w:rsidR="002A213B">
        <w:t xml:space="preserve"> à </w:t>
      </w:r>
      <w:r w:rsidR="004C1A80">
        <w:t>prévoir d’</w:t>
      </w:r>
      <w:r w:rsidR="002A213B">
        <w:t xml:space="preserve">établir de façon participative </w:t>
      </w:r>
      <w:r w:rsidR="002A213B" w:rsidRPr="00C87077">
        <w:rPr>
          <w:b/>
          <w:bCs/>
          <w:rPrChange w:id="109" w:author="Clémence Schantz Inguenault" w:date="2020-12-23T08:53:00Z">
            <w:rPr/>
          </w:rPrChange>
        </w:rPr>
        <w:t>une situation de référence</w:t>
      </w:r>
      <w:r w:rsidR="002A213B">
        <w:t xml:space="preserve"> au démarrage du projet</w:t>
      </w:r>
      <w:r w:rsidR="00BE1A91">
        <w:t xml:space="preserve"> (en s’appuyant par exemple sur </w:t>
      </w:r>
      <w:r w:rsidR="007A68FE">
        <w:t xml:space="preserve">des données </w:t>
      </w:r>
      <w:r w:rsidR="007D2715">
        <w:t xml:space="preserve">collectées </w:t>
      </w:r>
      <w:r w:rsidR="007A68FE">
        <w:t xml:space="preserve">concernant les violences subies par les femmes, l’absence de consentement, </w:t>
      </w:r>
      <w:r w:rsidR="00FB2D32">
        <w:t xml:space="preserve">ou </w:t>
      </w:r>
      <w:r w:rsidR="007108BD">
        <w:t>certaines pratiques</w:t>
      </w:r>
      <w:r w:rsidR="00864E5F">
        <w:t xml:space="preserve"> médicales</w:t>
      </w:r>
      <w:r w:rsidR="007108BD">
        <w:t xml:space="preserve"> dites « abusives » (voir </w:t>
      </w:r>
      <w:r w:rsidR="00B22DC3">
        <w:t>2.1</w:t>
      </w:r>
      <w:r w:rsidR="007108BD">
        <w:t>)</w:t>
      </w:r>
      <w:r w:rsidR="008D6D88">
        <w:t>)</w:t>
      </w:r>
      <w:r w:rsidR="002A213B">
        <w:t xml:space="preserve">. </w:t>
      </w:r>
      <w:r w:rsidR="009C35D5">
        <w:t xml:space="preserve">La situation de référence devra </w:t>
      </w:r>
      <w:r w:rsidR="00864E5F">
        <w:t xml:space="preserve">ensuite </w:t>
      </w:r>
      <w:r w:rsidR="006C40F9">
        <w:t>nourrir le dispositif de suivi</w:t>
      </w:r>
      <w:r w:rsidR="007D2715">
        <w:t xml:space="preserve"> mis en place par les ONG</w:t>
      </w:r>
    </w:p>
    <w:p w14:paraId="03C65C38" w14:textId="01A372C3" w:rsidR="00BF3E16" w:rsidRDefault="00C826EE" w:rsidP="00F40E4E">
      <w:pPr>
        <w:jc w:val="both"/>
      </w:pPr>
      <w:r>
        <w:t>Pour cela, l</w:t>
      </w:r>
      <w:r w:rsidR="00145BA9">
        <w:t xml:space="preserve">es ONG </w:t>
      </w:r>
      <w:r w:rsidR="00BF3E16">
        <w:t xml:space="preserve">définiront </w:t>
      </w:r>
      <w:r w:rsidR="00AF0E63">
        <w:t xml:space="preserve">avec les parties prenantes </w:t>
      </w:r>
      <w:r w:rsidR="00FE0254">
        <w:t xml:space="preserve">les </w:t>
      </w:r>
      <w:r w:rsidR="00BF3E16" w:rsidRPr="000139B0">
        <w:rPr>
          <w:b/>
          <w:bCs/>
          <w:rPrChange w:id="110" w:author="Clémence Schantz Inguenault" w:date="2020-12-23T09:10:00Z">
            <w:rPr/>
          </w:rPrChange>
        </w:rPr>
        <w:t>indicateurs</w:t>
      </w:r>
      <w:r w:rsidR="00FE0254" w:rsidRPr="000139B0">
        <w:rPr>
          <w:b/>
          <w:bCs/>
          <w:rPrChange w:id="111" w:author="Clémence Schantz Inguenault" w:date="2020-12-23T09:10:00Z">
            <w:rPr/>
          </w:rPrChange>
        </w:rPr>
        <w:t xml:space="preserve"> de suivi</w:t>
      </w:r>
      <w:r w:rsidR="006E7233" w:rsidRPr="000139B0">
        <w:rPr>
          <w:b/>
          <w:bCs/>
          <w:rPrChange w:id="112" w:author="Clémence Schantz Inguenault" w:date="2020-12-23T09:10:00Z">
            <w:rPr/>
          </w:rPrChange>
        </w:rPr>
        <w:t xml:space="preserve"> </w:t>
      </w:r>
      <w:r w:rsidR="00AF0E63" w:rsidRPr="000139B0">
        <w:rPr>
          <w:b/>
          <w:bCs/>
          <w:rPrChange w:id="113" w:author="Clémence Schantz Inguenault" w:date="2020-12-23T09:10:00Z">
            <w:rPr/>
          </w:rPrChange>
        </w:rPr>
        <w:t>des actions</w:t>
      </w:r>
      <w:r w:rsidR="00AF0E63">
        <w:t xml:space="preserve"> ainsi que </w:t>
      </w:r>
      <w:r w:rsidR="006E7233">
        <w:t>les</w:t>
      </w:r>
      <w:r w:rsidR="00BF3E16">
        <w:t xml:space="preserve"> </w:t>
      </w:r>
      <w:r w:rsidR="00BF3E16" w:rsidRPr="000139B0">
        <w:rPr>
          <w:b/>
          <w:bCs/>
          <w:rPrChange w:id="114" w:author="Clémence Schantz Inguenault" w:date="2020-12-23T09:10:00Z">
            <w:rPr/>
          </w:rPrChange>
        </w:rPr>
        <w:t>résultats finaux attendus</w:t>
      </w:r>
      <w:r w:rsidR="00BF3E16">
        <w:t xml:space="preserve">. </w:t>
      </w:r>
      <w:r w:rsidR="0021164D" w:rsidRPr="009D7322">
        <w:t xml:space="preserve">Seront encouragés les dispositifs adaptatifs permettant de saisir ce qui est réellement en jeu en cours d’intervention et </w:t>
      </w:r>
      <w:r w:rsidR="0021164D">
        <w:t xml:space="preserve">de révéler </w:t>
      </w:r>
      <w:r w:rsidR="0021164D" w:rsidRPr="009D7322">
        <w:t>la nécessité d’aménagements et de réorientations. Cela suppose d</w:t>
      </w:r>
      <w:r w:rsidR="007D2715">
        <w:t>’impliquer fortement les</w:t>
      </w:r>
      <w:r w:rsidR="00AC1D40">
        <w:t xml:space="preserve"> </w:t>
      </w:r>
      <w:r w:rsidR="0021164D" w:rsidRPr="009D7322">
        <w:t>acteurs</w:t>
      </w:r>
      <w:r w:rsidR="003E20E7">
        <w:t>/actrices</w:t>
      </w:r>
      <w:r w:rsidR="0021164D" w:rsidRPr="009D7322">
        <w:t xml:space="preserve"> concerné</w:t>
      </w:r>
      <w:r w:rsidR="003E20E7">
        <w:t>.e</w:t>
      </w:r>
      <w:r w:rsidR="0021164D" w:rsidRPr="009D7322">
        <w:t xml:space="preserve">s, et ce sur un mode aussi flexible et peu normatif </w:t>
      </w:r>
      <w:r w:rsidR="0021164D">
        <w:t>que possible.</w:t>
      </w:r>
      <w:r w:rsidR="003A7736">
        <w:t xml:space="preserve"> </w:t>
      </w:r>
    </w:p>
    <w:p w14:paraId="60EF6635" w14:textId="77777777" w:rsidR="003A7736" w:rsidRDefault="003A7736" w:rsidP="003A7736">
      <w:pPr>
        <w:jc w:val="both"/>
      </w:pPr>
      <w:r w:rsidRPr="007E2B22">
        <w:t>Une évaluation finale devra être proposée ainsi qu’une évaluation à mi-parcours si le projet dépasse une durée de trois ans. Ces évaluations devront être intégrées au plan de financement et au pilotage du projet.</w:t>
      </w:r>
    </w:p>
    <w:p w14:paraId="0988D210" w14:textId="77577C64" w:rsidR="003A7736" w:rsidRDefault="003A7736" w:rsidP="00BF3E16">
      <w:pPr>
        <w:jc w:val="both"/>
      </w:pPr>
      <w:r>
        <w:t>Des</w:t>
      </w:r>
      <w:r w:rsidRPr="007E2B22">
        <w:t xml:space="preserve"> ligne</w:t>
      </w:r>
      <w:r>
        <w:t>s</w:t>
      </w:r>
      <w:r w:rsidRPr="007E2B22">
        <w:t xml:space="preserve"> budgétaire</w:t>
      </w:r>
      <w:r>
        <w:t>s</w:t>
      </w:r>
      <w:r w:rsidRPr="007E2B22">
        <w:t xml:space="preserve"> devr</w:t>
      </w:r>
      <w:r>
        <w:t>ont</w:t>
      </w:r>
      <w:r w:rsidRPr="007E2B22">
        <w:t xml:space="preserve"> être dédiée</w:t>
      </w:r>
      <w:r>
        <w:t>s</w:t>
      </w:r>
      <w:r w:rsidRPr="007E2B22">
        <w:t xml:space="preserve"> dans le budget du projet à ces activités de suivi-évaluation</w:t>
      </w:r>
      <w:r>
        <w:t xml:space="preserve"> et d’évaluation</w:t>
      </w:r>
      <w:r w:rsidR="001708EC">
        <w:t xml:space="preserve">. </w:t>
      </w:r>
    </w:p>
    <w:p w14:paraId="6BCC7821" w14:textId="17C03BB7" w:rsidR="00BF3E16" w:rsidRPr="00104095" w:rsidRDefault="00BF3E16" w:rsidP="00AC1D40">
      <w:pPr>
        <w:pStyle w:val="Soussoustitre"/>
        <w:numPr>
          <w:ilvl w:val="2"/>
          <w:numId w:val="11"/>
        </w:numPr>
      </w:pPr>
      <w:bookmarkStart w:id="115" w:name="_Toc30419909"/>
      <w:bookmarkStart w:id="116" w:name="_Toc31292456"/>
      <w:bookmarkStart w:id="117" w:name="_Toc32844233"/>
      <w:bookmarkStart w:id="118" w:name="_Toc60939095"/>
      <w:r w:rsidRPr="00104095">
        <w:t>Capitalisation</w:t>
      </w:r>
      <w:bookmarkEnd w:id="115"/>
      <w:bookmarkEnd w:id="116"/>
      <w:bookmarkEnd w:id="117"/>
      <w:bookmarkEnd w:id="118"/>
    </w:p>
    <w:p w14:paraId="3CE16DBC" w14:textId="76764741" w:rsidR="003A7736" w:rsidRPr="0022786C" w:rsidRDefault="00BF3E16" w:rsidP="003A7736">
      <w:pPr>
        <w:jc w:val="both"/>
      </w:pPr>
      <w:r w:rsidRPr="00F87C1C">
        <w:t xml:space="preserve">La capitalisation est </w:t>
      </w:r>
      <w:r>
        <w:t>un objectif important d</w:t>
      </w:r>
      <w:r w:rsidRPr="00F87C1C">
        <w:t xml:space="preserve">es projets </w:t>
      </w:r>
      <w:r>
        <w:t xml:space="preserve">financés </w:t>
      </w:r>
      <w:r w:rsidRPr="00AC1D40">
        <w:t>par la FISONG</w:t>
      </w:r>
      <w:r w:rsidR="003A7736" w:rsidRPr="00AC1D40">
        <w:t>.</w:t>
      </w:r>
      <w:r w:rsidRPr="00AC1D40">
        <w:t xml:space="preserve"> </w:t>
      </w:r>
      <w:r w:rsidR="003A7736" w:rsidRPr="00AC1D40">
        <w:t>Dans ce cadre, chaque ONG est invitée à expliciter les modalités de capitalisation spécifiques au projet financé. En particulier, les ONG</w:t>
      </w:r>
      <w:r w:rsidR="007B7481" w:rsidRPr="00AC1D40">
        <w:t xml:space="preserve"> sont invitées à documenter la recherche-action menée dans le cadre du projet (cf. §3.2.1) : la capitalisation pourra permettre de suivre </w:t>
      </w:r>
      <w:r w:rsidR="003A7736" w:rsidRPr="00AC1D40">
        <w:t>la réalisation des hypothèses</w:t>
      </w:r>
      <w:r w:rsidR="007B7481" w:rsidRPr="00AC1D40">
        <w:t xml:space="preserve"> formulées</w:t>
      </w:r>
      <w:r w:rsidR="003A7736" w:rsidRPr="00AC1D40">
        <w:t>, en cherchant à identifier et comprendre les conditions qui ont permis ou pas d'atteindre les objectifs définis ex ante. Ainsi, la capitalisation ne cible</w:t>
      </w:r>
      <w:r w:rsidR="007B7481" w:rsidRPr="00AC1D40">
        <w:t>ra</w:t>
      </w:r>
      <w:r w:rsidR="003A7736" w:rsidRPr="00AC1D40">
        <w:t xml:space="preserve"> pas ici les résultats, mais les conditions qui ont permis de les atteindre, quels qu'ils soient par ailleurs.</w:t>
      </w:r>
    </w:p>
    <w:p w14:paraId="147823F6" w14:textId="5D3C313B" w:rsidR="00732F98" w:rsidRDefault="003A7736">
      <w:pPr>
        <w:jc w:val="both"/>
      </w:pPr>
      <w:r>
        <w:t xml:space="preserve">En parallèle, </w:t>
      </w:r>
      <w:r>
        <w:rPr>
          <w:color w:val="000000"/>
        </w:rPr>
        <w:t xml:space="preserve">un ou une prestataire sera </w:t>
      </w:r>
      <w:r w:rsidR="00BF3E16" w:rsidRPr="00BF3E16">
        <w:rPr>
          <w:rPrChange w:id="119" w:author="PINHAS Rebecca" w:date="2020-12-17T17:13:00Z">
            <w:rPr>
              <w:color w:val="000000"/>
            </w:rPr>
          </w:rPrChange>
        </w:rPr>
        <w:t>recruté</w:t>
      </w:r>
      <w:r w:rsidR="003E20E7">
        <w:t>.</w:t>
      </w:r>
      <w:r w:rsidR="00BF3E16" w:rsidRPr="00BF3E16">
        <w:rPr>
          <w:rPrChange w:id="120" w:author="PINHAS Rebecca" w:date="2020-12-17T17:13:00Z">
            <w:rPr>
              <w:color w:val="000000"/>
            </w:rPr>
          </w:rPrChange>
        </w:rPr>
        <w:t xml:space="preserve">e sur appel d’offres par l’AFD. </w:t>
      </w:r>
      <w:r w:rsidR="00BF3E16">
        <w:t xml:space="preserve">L’objectif principal </w:t>
      </w:r>
      <w:r w:rsidR="007B7481">
        <w:t>sera</w:t>
      </w:r>
      <w:r w:rsidR="00BF3E16">
        <w:t xml:space="preserve"> de c</w:t>
      </w:r>
      <w:r w:rsidR="00BF3E16" w:rsidRPr="00D03943">
        <w:t>apitaliser sur les expériences financées afin d</w:t>
      </w:r>
      <w:r w:rsidR="00BF3E16">
        <w:t>’</w:t>
      </w:r>
      <w:r w:rsidR="00BF3E16" w:rsidRPr="00D03943">
        <w:t>e</w:t>
      </w:r>
      <w:r w:rsidR="00BF3E16">
        <w:t>n</w:t>
      </w:r>
      <w:r w:rsidR="00BF3E16" w:rsidRPr="00D03943">
        <w:t xml:space="preserve"> faire bénéficier l’ensemble des acteurs </w:t>
      </w:r>
      <w:r w:rsidR="00BF3E16">
        <w:t xml:space="preserve">et actrices </w:t>
      </w:r>
      <w:r w:rsidR="00BF3E16" w:rsidRPr="00D03943">
        <w:t>concerné</w:t>
      </w:r>
      <w:r w:rsidR="003E20E7">
        <w:t>.</w:t>
      </w:r>
      <w:r w:rsidR="00BF3E16">
        <w:t>e</w:t>
      </w:r>
      <w:r w:rsidR="003E20E7">
        <w:t>.</w:t>
      </w:r>
      <w:r w:rsidR="00BF3E16" w:rsidRPr="00D03943">
        <w:t xml:space="preserve">s </w:t>
      </w:r>
      <w:r w:rsidR="00BF3E16">
        <w:t>et ainsi de</w:t>
      </w:r>
      <w:r w:rsidR="00BF3E16" w:rsidRPr="00D03943">
        <w:t xml:space="preserve"> porter les innovations mises en œuvre au-delà de l’échelle des projets.</w:t>
      </w:r>
      <w:r w:rsidR="00BF3E16">
        <w:t xml:space="preserve"> </w:t>
      </w:r>
    </w:p>
    <w:p w14:paraId="00DF3D01" w14:textId="77777777" w:rsidR="00732F98" w:rsidRPr="00A519DD" w:rsidRDefault="00732F98" w:rsidP="00732F98">
      <w:r w:rsidRPr="00A519DD">
        <w:t>Mis en place dans une logique participative, ce dispositif aura pour objectifs de :</w:t>
      </w:r>
    </w:p>
    <w:p w14:paraId="0F340FBB" w14:textId="3D4FA63E" w:rsidR="00732F98" w:rsidRPr="00A519DD" w:rsidRDefault="00732F98" w:rsidP="00732F98">
      <w:pPr>
        <w:numPr>
          <w:ilvl w:val="0"/>
          <w:numId w:val="14"/>
        </w:numPr>
        <w:tabs>
          <w:tab w:val="left" w:pos="0"/>
        </w:tabs>
        <w:spacing w:after="0" w:line="240" w:lineRule="auto"/>
        <w:jc w:val="both"/>
      </w:pPr>
      <w:r w:rsidRPr="00A519DD">
        <w:t>Identifier, stimuler et apprécier les innovations portées par les projets ;</w:t>
      </w:r>
    </w:p>
    <w:p w14:paraId="5B4C2D88" w14:textId="07614247" w:rsidR="00732F98" w:rsidRPr="00A519DD" w:rsidRDefault="00732F98" w:rsidP="001051DC">
      <w:pPr>
        <w:numPr>
          <w:ilvl w:val="0"/>
          <w:numId w:val="14"/>
        </w:numPr>
        <w:tabs>
          <w:tab w:val="left" w:pos="0"/>
        </w:tabs>
        <w:spacing w:after="0" w:line="240" w:lineRule="auto"/>
        <w:jc w:val="both"/>
      </w:pPr>
      <w:r w:rsidRPr="00A519DD">
        <w:t>Apprécier la qualité et les effets liés à chacun des projets financés ;</w:t>
      </w:r>
    </w:p>
    <w:p w14:paraId="147BB362" w14:textId="42A65DD0" w:rsidR="00732F98" w:rsidRPr="00A519DD" w:rsidRDefault="00732F98" w:rsidP="009C4C4B">
      <w:pPr>
        <w:numPr>
          <w:ilvl w:val="0"/>
          <w:numId w:val="14"/>
        </w:numPr>
        <w:tabs>
          <w:tab w:val="left" w:pos="0"/>
        </w:tabs>
        <w:spacing w:after="0" w:line="240" w:lineRule="auto"/>
        <w:jc w:val="both"/>
      </w:pPr>
      <w:r w:rsidRPr="00A519DD">
        <w:t>Formuler des recommandations à destination des ONG en charge de l’exécution des projets, en termes de méthodologie, de mise en œuvre, de capitalisation interne à chaque projet et le cas échéant d’enrichissement de certaines composantes ou activités du projet.</w:t>
      </w:r>
    </w:p>
    <w:p w14:paraId="689D60DC" w14:textId="77777777" w:rsidR="00732F98" w:rsidRPr="00A519DD" w:rsidRDefault="00732F98" w:rsidP="009C4C4B">
      <w:pPr>
        <w:numPr>
          <w:ilvl w:val="0"/>
          <w:numId w:val="14"/>
        </w:numPr>
        <w:tabs>
          <w:tab w:val="left" w:pos="0"/>
        </w:tabs>
        <w:spacing w:after="0" w:line="240" w:lineRule="auto"/>
        <w:jc w:val="both"/>
      </w:pPr>
      <w:r w:rsidRPr="00A519DD">
        <w:t>Accompagner l’identification des utilisateurs/destinataires des produits de capitalisation et élaborer des livrables en cohérence avec ceux-ci.</w:t>
      </w:r>
    </w:p>
    <w:p w14:paraId="7899C2D7" w14:textId="0DC9AF77" w:rsidR="00732F98" w:rsidRPr="00A519DD" w:rsidRDefault="00732F98" w:rsidP="009C4C4B">
      <w:pPr>
        <w:numPr>
          <w:ilvl w:val="0"/>
          <w:numId w:val="14"/>
        </w:numPr>
        <w:tabs>
          <w:tab w:val="left" w:pos="0"/>
        </w:tabs>
        <w:spacing w:after="0" w:line="240" w:lineRule="auto"/>
        <w:jc w:val="both"/>
      </w:pPr>
      <w:r w:rsidRPr="00A519DD">
        <w:t>Nourrir une réflexion multi-acteurs et actrices sur la pertinence de l’approche proposée par le projet en fonction des territoires, des acteurs et actrices, des contextes sanitaires, etc.</w:t>
      </w:r>
    </w:p>
    <w:p w14:paraId="3DD4BA07" w14:textId="6F3A5066" w:rsidR="00732F98" w:rsidRDefault="00732F98" w:rsidP="009C4C4B">
      <w:pPr>
        <w:numPr>
          <w:ilvl w:val="0"/>
          <w:numId w:val="14"/>
        </w:numPr>
        <w:tabs>
          <w:tab w:val="left" w:pos="0"/>
        </w:tabs>
        <w:spacing w:after="0" w:line="240" w:lineRule="auto"/>
        <w:jc w:val="both"/>
      </w:pPr>
      <w:r w:rsidRPr="00A519DD">
        <w:t>Mettre en perspective et enrichir les enseignements sur la FISONG en échangeant avec d’autres projets en dehors du cadre de cette FISONG.</w:t>
      </w:r>
    </w:p>
    <w:p w14:paraId="2B2B5716" w14:textId="77777777" w:rsidR="00AC1D40" w:rsidRPr="00A519DD" w:rsidRDefault="00AC1D40" w:rsidP="00AC1D40">
      <w:pPr>
        <w:tabs>
          <w:tab w:val="left" w:pos="0"/>
        </w:tabs>
        <w:spacing w:after="0" w:line="240" w:lineRule="auto"/>
        <w:ind w:left="720"/>
        <w:jc w:val="both"/>
      </w:pPr>
    </w:p>
    <w:p w14:paraId="5BC43A61" w14:textId="77777777" w:rsidR="00732F98" w:rsidRPr="00A519DD" w:rsidRDefault="00732F98">
      <w:pPr>
        <w:jc w:val="both"/>
        <w:pPrChange w:id="121" w:author="DE PERETTI Corinne" w:date="2020-12-22T11:54:00Z">
          <w:pPr/>
        </w:pPrChange>
      </w:pPr>
      <w:r w:rsidRPr="00A519DD">
        <w:t xml:space="preserve">Ce dispositif sera appuyé par un prestataire externe dont la mission aura une durée concomitante avec celle des projets financés. </w:t>
      </w:r>
    </w:p>
    <w:p w14:paraId="1325BC17" w14:textId="5D113998" w:rsidR="00354C4D" w:rsidRDefault="00732F98" w:rsidP="00354C4D">
      <w:pPr>
        <w:jc w:val="both"/>
      </w:pPr>
      <w:r w:rsidRPr="00A519DD">
        <w:t xml:space="preserve">Aussi, la mise en œuvre de ce dispositif nécessitera que les OSC bénéficiaires des financements prévoient, a minima, un regroupement par an dans l’un des pays d’intervention ou à Paris. Les budgets dédiés à ces regroupements devront être pris en charge par les OSC bénéficiaires. </w:t>
      </w:r>
    </w:p>
    <w:p w14:paraId="29AD7342" w14:textId="2AADB529" w:rsidR="00354C4D" w:rsidRPr="00354C4D" w:rsidRDefault="00354C4D" w:rsidP="00BF6A65">
      <w:pPr>
        <w:pStyle w:val="Grandtitre"/>
        <w:numPr>
          <w:ilvl w:val="0"/>
          <w:numId w:val="7"/>
        </w:numPr>
      </w:pPr>
      <w:bookmarkStart w:id="122" w:name="_Toc59094201"/>
      <w:bookmarkStart w:id="123" w:name="_Toc59094258"/>
      <w:bookmarkStart w:id="124" w:name="_Toc60939096"/>
      <w:r w:rsidRPr="00354C4D">
        <w:t>Qualification et expérience des ONG</w:t>
      </w:r>
      <w:bookmarkEnd w:id="122"/>
      <w:bookmarkEnd w:id="123"/>
      <w:bookmarkEnd w:id="124"/>
      <w:r w:rsidRPr="00354C4D">
        <w:t xml:space="preserve"> </w:t>
      </w:r>
    </w:p>
    <w:p w14:paraId="5957990B" w14:textId="28DEE9DC" w:rsidR="0034205F" w:rsidRDefault="00354C4D" w:rsidP="00354C4D">
      <w:pPr>
        <w:spacing w:after="120"/>
        <w:jc w:val="both"/>
      </w:pPr>
      <w:r>
        <w:t xml:space="preserve">Toute </w:t>
      </w:r>
      <w:r w:rsidRPr="00F87C1C">
        <w:t>ONG</w:t>
      </w:r>
      <w:r>
        <w:t>, quelle que soit sa nationalité,</w:t>
      </w:r>
      <w:r w:rsidRPr="00F87C1C">
        <w:t xml:space="preserve"> </w:t>
      </w:r>
      <w:r>
        <w:t xml:space="preserve">est éligible à la FISONG. Une ONG souhaitant soumettre un projet pourra </w:t>
      </w:r>
      <w:r w:rsidRPr="00F87C1C">
        <w:t xml:space="preserve">s’appuyer sur des partenaires des pays d’intervention. </w:t>
      </w:r>
      <w:r>
        <w:t xml:space="preserve">Les partenariats (groupements ou consortium) sont </w:t>
      </w:r>
      <w:r w:rsidR="0034205F">
        <w:t>requis</w:t>
      </w:r>
      <w:r w:rsidR="00CB0FE9">
        <w:t xml:space="preserve"> avec des institutions du domaine de la recherche et encouragés </w:t>
      </w:r>
      <w:r>
        <w:t xml:space="preserve">entre ONG. </w:t>
      </w:r>
    </w:p>
    <w:p w14:paraId="7E2B6797" w14:textId="0FEB84F0" w:rsidR="00354C4D" w:rsidRDefault="00354C4D" w:rsidP="00354C4D">
      <w:pPr>
        <w:spacing w:after="120"/>
        <w:jc w:val="both"/>
      </w:pPr>
      <w:r w:rsidRPr="00F87C1C">
        <w:t>Cel</w:t>
      </w:r>
      <w:r>
        <w:t xml:space="preserve">a facilitera </w:t>
      </w:r>
      <w:r w:rsidR="00CB0FE9">
        <w:t xml:space="preserve">le travail de recherche essentiel dans le cadre de ce projet et par la suite </w:t>
      </w:r>
      <w:r>
        <w:t>la</w:t>
      </w:r>
      <w:r w:rsidRPr="00F87C1C">
        <w:t xml:space="preserve"> capitalisation </w:t>
      </w:r>
      <w:r>
        <w:t xml:space="preserve">sous l’angle de l’innovation </w:t>
      </w:r>
      <w:r w:rsidRPr="00F87C1C">
        <w:t>et les possibilités de passage ultérieur à une plus grande échelle.</w:t>
      </w:r>
    </w:p>
    <w:p w14:paraId="62320A08" w14:textId="3DE94E1E" w:rsidR="00354C4D" w:rsidRDefault="00354C4D" w:rsidP="00354C4D">
      <w:pPr>
        <w:spacing w:after="120"/>
        <w:jc w:val="both"/>
      </w:pPr>
      <w:r w:rsidRPr="00F87C1C">
        <w:t xml:space="preserve">Il est demandé aux ONG de justifier d’une présence de </w:t>
      </w:r>
      <w:r>
        <w:t xml:space="preserve">trois </w:t>
      </w:r>
      <w:r w:rsidRPr="00F87C1C">
        <w:t xml:space="preserve">années </w:t>
      </w:r>
      <w:r>
        <w:t xml:space="preserve">minimum d’intervention </w:t>
      </w:r>
      <w:r w:rsidRPr="00F87C1C">
        <w:t xml:space="preserve">dans le </w:t>
      </w:r>
      <w:r w:rsidR="00F72FF9">
        <w:t xml:space="preserve">ou les </w:t>
      </w:r>
      <w:r w:rsidRPr="00F87C1C">
        <w:t>pays du projet afin d’assurer leur connaissance d</w:t>
      </w:r>
      <w:r>
        <w:t>u contexte local, notamment sur les plans politique, institutionnel et socio-politique. La compréhension du contexte local doit permettre aux ONG de comprendre et s’insérer dans les jeux d’acteurs</w:t>
      </w:r>
      <w:r w:rsidR="003B067A">
        <w:t xml:space="preserve"> et d’actrices</w:t>
      </w:r>
      <w:r>
        <w:t xml:space="preserve">. </w:t>
      </w:r>
    </w:p>
    <w:p w14:paraId="34B7D09D" w14:textId="4537E0DE" w:rsidR="005D6BD8" w:rsidRDefault="00354C4D" w:rsidP="00354C4D">
      <w:pPr>
        <w:spacing w:after="120"/>
        <w:jc w:val="both"/>
      </w:pPr>
      <w:r>
        <w:t xml:space="preserve">Les ONG doivent avoir une grande expérience </w:t>
      </w:r>
      <w:r w:rsidR="005D6BD8">
        <w:t>dans les domaines des VBG, SMI et DSSR et appréhender de façon claire les enjeux liés aux VG</w:t>
      </w:r>
      <w:r w:rsidR="003B067A">
        <w:t>O</w:t>
      </w:r>
      <w:r w:rsidR="005D6BD8">
        <w:t xml:space="preserve">. </w:t>
      </w:r>
    </w:p>
    <w:p w14:paraId="0ACAEC9B" w14:textId="77777777" w:rsidR="00354C4D" w:rsidRDefault="00354C4D" w:rsidP="00354C4D">
      <w:pPr>
        <w:spacing w:after="120"/>
        <w:jc w:val="both"/>
      </w:pPr>
      <w:r>
        <w:t xml:space="preserve">Les ONG doivent démontrer une expérience dans la conception et mise en œuvre de démarche spécifique visant à </w:t>
      </w:r>
      <w:r w:rsidRPr="0021553B">
        <w:t>réduire les inégalités de genre</w:t>
      </w:r>
      <w:r>
        <w:t>.</w:t>
      </w:r>
    </w:p>
    <w:p w14:paraId="25E3BA6C" w14:textId="77777777" w:rsidR="00354C4D" w:rsidRPr="00F87C1C" w:rsidRDefault="00354C4D" w:rsidP="00354C4D">
      <w:pPr>
        <w:spacing w:after="120"/>
        <w:jc w:val="both"/>
      </w:pPr>
      <w:r w:rsidRPr="00F87C1C">
        <w:t xml:space="preserve">Le dispositif FISONG est destiné à des ONG dotées des capacités et outils nécessaires à la conduite de processus d’innovation et de concertation avec les responsables sectoriels de l’AFD (problématisation, conception, expérimentation, évaluation, capitalisation, diffusion, passage à l’échelle…) dans des domaines de compétences spécialisés. </w:t>
      </w:r>
    </w:p>
    <w:p w14:paraId="2C7378FC" w14:textId="77777777" w:rsidR="00354C4D" w:rsidRDefault="00354C4D" w:rsidP="00354C4D">
      <w:pPr>
        <w:jc w:val="both"/>
      </w:pPr>
      <w:r>
        <w:t>Les ONG mobiliseront des équipes adaptées aux méthodologies qu’elles proposent. Ces équipes seront placées sous la responsabilité de responsables de mission installés localement.</w:t>
      </w:r>
    </w:p>
    <w:p w14:paraId="64F5146A" w14:textId="77777777" w:rsidR="00354C4D" w:rsidRPr="005D6BD8" w:rsidRDefault="005D6BD8" w:rsidP="00BF6A65">
      <w:pPr>
        <w:pStyle w:val="Grandtitre"/>
        <w:numPr>
          <w:ilvl w:val="0"/>
          <w:numId w:val="7"/>
        </w:numPr>
      </w:pPr>
      <w:bookmarkStart w:id="125" w:name="_Toc59094202"/>
      <w:bookmarkStart w:id="126" w:name="_Toc59094259"/>
      <w:bookmarkStart w:id="127" w:name="_Toc60939097"/>
      <w:r w:rsidRPr="005D6BD8">
        <w:t>Cadrage budgétaire</w:t>
      </w:r>
      <w:bookmarkEnd w:id="125"/>
      <w:bookmarkEnd w:id="126"/>
      <w:bookmarkEnd w:id="127"/>
    </w:p>
    <w:p w14:paraId="291D218B" w14:textId="77777777" w:rsidR="005D6BD8" w:rsidRDefault="005D6BD8" w:rsidP="005D6BD8">
      <w:pPr>
        <w:tabs>
          <w:tab w:val="num" w:pos="180"/>
        </w:tabs>
        <w:rPr>
          <w:color w:val="000000"/>
        </w:rPr>
      </w:pPr>
      <w:r w:rsidRPr="0061534D">
        <w:rPr>
          <w:color w:val="000000"/>
        </w:rPr>
        <w:t xml:space="preserve">Cette FISONG </w:t>
      </w:r>
      <w:r>
        <w:rPr>
          <w:color w:val="000000"/>
        </w:rPr>
        <w:t xml:space="preserve">est </w:t>
      </w:r>
      <w:r w:rsidRPr="0061534D">
        <w:rPr>
          <w:color w:val="000000"/>
        </w:rPr>
        <w:t>doté</w:t>
      </w:r>
      <w:r>
        <w:rPr>
          <w:color w:val="000000"/>
        </w:rPr>
        <w:t>e</w:t>
      </w:r>
      <w:r w:rsidRPr="0061534D">
        <w:rPr>
          <w:color w:val="000000"/>
        </w:rPr>
        <w:t xml:space="preserve"> d’un </w:t>
      </w:r>
      <w:r w:rsidRPr="0094115B">
        <w:rPr>
          <w:color w:val="000000"/>
        </w:rPr>
        <w:t>montant</w:t>
      </w:r>
      <w:r>
        <w:rPr>
          <w:color w:val="000000"/>
        </w:rPr>
        <w:t xml:space="preserve"> de </w:t>
      </w:r>
      <w:r w:rsidR="00CB0FE9" w:rsidRPr="00CB0FE9">
        <w:rPr>
          <w:color w:val="000000"/>
        </w:rPr>
        <w:t xml:space="preserve">2,5 </w:t>
      </w:r>
      <w:r w:rsidRPr="00CB0FE9">
        <w:rPr>
          <w:color w:val="000000"/>
        </w:rPr>
        <w:t>millions d’euros, répartis – à titre indicatif à ce stade – comme suit :</w:t>
      </w:r>
    </w:p>
    <w:p w14:paraId="5D9C8EB6" w14:textId="77777777" w:rsidR="005B36C8" w:rsidRDefault="005B36C8" w:rsidP="00BF6A65">
      <w:pPr>
        <w:pStyle w:val="Paragraphedeliste"/>
        <w:numPr>
          <w:ilvl w:val="0"/>
          <w:numId w:val="1"/>
        </w:numPr>
        <w:tabs>
          <w:tab w:val="num" w:pos="180"/>
        </w:tabs>
        <w:spacing w:after="0" w:line="240" w:lineRule="auto"/>
        <w:contextualSpacing w:val="0"/>
        <w:jc w:val="both"/>
        <w:rPr>
          <w:color w:val="000000"/>
        </w:rPr>
      </w:pPr>
      <w:r>
        <w:rPr>
          <w:color w:val="000000"/>
        </w:rPr>
        <w:t>2,2 millions d’euros pour financer des projets de terrain ;</w:t>
      </w:r>
    </w:p>
    <w:p w14:paraId="5A1BC551" w14:textId="2AEF3582" w:rsidR="005B36C8" w:rsidRDefault="005B36C8" w:rsidP="00BF6A65">
      <w:pPr>
        <w:pStyle w:val="Paragraphedeliste"/>
        <w:numPr>
          <w:ilvl w:val="0"/>
          <w:numId w:val="1"/>
        </w:numPr>
        <w:tabs>
          <w:tab w:val="num" w:pos="180"/>
        </w:tabs>
        <w:spacing w:after="0" w:line="240" w:lineRule="auto"/>
        <w:contextualSpacing w:val="0"/>
        <w:jc w:val="both"/>
        <w:rPr>
          <w:color w:val="000000"/>
        </w:rPr>
      </w:pPr>
      <w:r>
        <w:rPr>
          <w:color w:val="000000"/>
        </w:rPr>
        <w:t>0,3 million d’euros pour financer le dispositif transversal de capitalisation qui sera assuré par un ou une prestataire recruté</w:t>
      </w:r>
      <w:r w:rsidR="009831BD">
        <w:rPr>
          <w:color w:val="000000"/>
        </w:rPr>
        <w:t>.</w:t>
      </w:r>
      <w:r>
        <w:rPr>
          <w:color w:val="000000"/>
        </w:rPr>
        <w:t>e sur appel d’offres.</w:t>
      </w:r>
    </w:p>
    <w:p w14:paraId="766D8F29" w14:textId="77777777" w:rsidR="005B36C8" w:rsidRDefault="005B36C8" w:rsidP="00EA6E4D">
      <w:pPr>
        <w:pStyle w:val="Paragraphedeliste"/>
        <w:spacing w:after="0" w:line="240" w:lineRule="auto"/>
        <w:contextualSpacing w:val="0"/>
        <w:jc w:val="both"/>
        <w:rPr>
          <w:color w:val="000000"/>
        </w:rPr>
      </w:pPr>
    </w:p>
    <w:p w14:paraId="2BABDD7B" w14:textId="4C9F4C9F" w:rsidR="005B36C8" w:rsidRPr="00886CC2" w:rsidRDefault="005B36C8" w:rsidP="005B36C8">
      <w:pPr>
        <w:tabs>
          <w:tab w:val="num" w:pos="180"/>
        </w:tabs>
        <w:jc w:val="both"/>
        <w:rPr>
          <w:color w:val="000000"/>
        </w:rPr>
      </w:pPr>
      <w:r>
        <w:rPr>
          <w:color w:val="000000"/>
        </w:rPr>
        <w:t xml:space="preserve">Cette FISONG vise à financer </w:t>
      </w:r>
      <w:r w:rsidR="00B44CF4">
        <w:rPr>
          <w:color w:val="000000"/>
        </w:rPr>
        <w:t>2</w:t>
      </w:r>
      <w:r>
        <w:rPr>
          <w:color w:val="000000"/>
        </w:rPr>
        <w:t xml:space="preserve">-3 projet(s) d’un montant minimum de 700 000 €, sachant que la contribution financière de la FISONG ne </w:t>
      </w:r>
      <w:r w:rsidRPr="00A129DD">
        <w:rPr>
          <w:color w:val="000000"/>
        </w:rPr>
        <w:t xml:space="preserve">pourra excéder </w:t>
      </w:r>
      <w:r>
        <w:t>90% du coût total du projet.</w:t>
      </w:r>
    </w:p>
    <w:p w14:paraId="09220845" w14:textId="7204A01C" w:rsidR="005D6BD8" w:rsidRPr="00491397" w:rsidRDefault="005B36C8" w:rsidP="00F11695">
      <w:pPr>
        <w:tabs>
          <w:tab w:val="num" w:pos="180"/>
        </w:tabs>
        <w:jc w:val="both"/>
      </w:pPr>
      <w:r w:rsidRPr="00491397">
        <w:rPr>
          <w:color w:val="000000"/>
        </w:rPr>
        <w:t>Le plan de financement soumis par l’ONG devra intégrer un montant forfaitaire minimum de 2% du montant total du projet pour la réalisation d’audits externes. Ce montant sera mobilisé directement par l’ONG qui contractualisera avec un cabinet d’audit externe pour assurer la vérification des dépenses effectuées</w:t>
      </w:r>
    </w:p>
    <w:p w14:paraId="450D1B63" w14:textId="22C02FB8" w:rsidR="00126A9D" w:rsidRPr="00AF1506" w:rsidRDefault="005D6BD8" w:rsidP="00BF6A65">
      <w:pPr>
        <w:pStyle w:val="Grandtitre"/>
        <w:numPr>
          <w:ilvl w:val="0"/>
          <w:numId w:val="7"/>
        </w:numPr>
      </w:pPr>
      <w:bookmarkStart w:id="128" w:name="_Toc59094203"/>
      <w:bookmarkStart w:id="129" w:name="_Toc59094260"/>
      <w:bookmarkStart w:id="130" w:name="_Toc60939098"/>
      <w:r w:rsidRPr="005D6BD8">
        <w:lastRenderedPageBreak/>
        <w:t>Critères d’évaluation des propositions</w:t>
      </w:r>
      <w:bookmarkEnd w:id="128"/>
      <w:bookmarkEnd w:id="129"/>
      <w:bookmarkEnd w:id="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490"/>
        <w:gridCol w:w="6438"/>
        <w:tblGridChange w:id="131">
          <w:tblGrid>
            <w:gridCol w:w="2134"/>
            <w:gridCol w:w="17"/>
            <w:gridCol w:w="473"/>
            <w:gridCol w:w="17"/>
            <w:gridCol w:w="6421"/>
          </w:tblGrid>
        </w:tblGridChange>
      </w:tblGrid>
      <w:tr w:rsidR="005B36C8" w14:paraId="295BB263" w14:textId="77777777" w:rsidTr="00AC1D40">
        <w:tc>
          <w:tcPr>
            <w:tcW w:w="2151" w:type="dxa"/>
            <w:shd w:val="clear" w:color="auto" w:fill="E0E0E0"/>
          </w:tcPr>
          <w:p w14:paraId="23E6F5CA" w14:textId="77777777" w:rsidR="005B36C8" w:rsidRDefault="005B36C8" w:rsidP="001C1056">
            <w:pPr>
              <w:jc w:val="both"/>
            </w:pPr>
            <w:r>
              <w:t>Intitulé</w:t>
            </w:r>
          </w:p>
        </w:tc>
        <w:tc>
          <w:tcPr>
            <w:tcW w:w="490" w:type="dxa"/>
            <w:shd w:val="clear" w:color="auto" w:fill="E0E0E0"/>
          </w:tcPr>
          <w:p w14:paraId="6E6FFCDA" w14:textId="77777777" w:rsidR="005B36C8" w:rsidRDefault="005B36C8" w:rsidP="001C1056">
            <w:pPr>
              <w:jc w:val="both"/>
            </w:pPr>
            <w:r>
              <w:t>Pts</w:t>
            </w:r>
          </w:p>
        </w:tc>
        <w:tc>
          <w:tcPr>
            <w:tcW w:w="6421" w:type="dxa"/>
            <w:shd w:val="clear" w:color="auto" w:fill="E0E0E0"/>
          </w:tcPr>
          <w:p w14:paraId="5944396B" w14:textId="77777777" w:rsidR="005B36C8" w:rsidRDefault="005B36C8" w:rsidP="001C1056">
            <w:pPr>
              <w:jc w:val="both"/>
            </w:pPr>
            <w:r>
              <w:t xml:space="preserve">Seront </w:t>
            </w:r>
            <w:r w:rsidRPr="004725B4">
              <w:t>évalués</w:t>
            </w:r>
          </w:p>
        </w:tc>
      </w:tr>
      <w:tr w:rsidR="005B36C8" w:rsidRPr="001A3215" w14:paraId="067549DA" w14:textId="77777777" w:rsidTr="00AC1D40">
        <w:tc>
          <w:tcPr>
            <w:tcW w:w="9062" w:type="dxa"/>
            <w:gridSpan w:val="3"/>
            <w:shd w:val="clear" w:color="auto" w:fill="auto"/>
          </w:tcPr>
          <w:p w14:paraId="3DD744C0" w14:textId="1497DAD6" w:rsidR="005B36C8" w:rsidRPr="001A3215" w:rsidRDefault="005B36C8" w:rsidP="00582E98">
            <w:pPr>
              <w:jc w:val="both"/>
              <w:rPr>
                <w:b/>
              </w:rPr>
            </w:pPr>
            <w:r w:rsidRPr="001A3215">
              <w:rPr>
                <w:b/>
              </w:rPr>
              <w:t xml:space="preserve">Pertinence du projet en termes </w:t>
            </w:r>
            <w:r w:rsidR="00582E98">
              <w:rPr>
                <w:b/>
              </w:rPr>
              <w:t>de connaissance</w:t>
            </w:r>
            <w:r w:rsidR="00582E98" w:rsidRPr="001A3215">
              <w:rPr>
                <w:b/>
              </w:rPr>
              <w:t xml:space="preserve"> </w:t>
            </w:r>
            <w:r w:rsidRPr="001A3215">
              <w:rPr>
                <w:b/>
              </w:rPr>
              <w:t>et d’insertion dans le contexte local (20)</w:t>
            </w:r>
          </w:p>
        </w:tc>
      </w:tr>
      <w:tr w:rsidR="005B36C8" w:rsidRPr="008821DC" w14:paraId="2371F002" w14:textId="77777777" w:rsidTr="00AC1D40">
        <w:tc>
          <w:tcPr>
            <w:tcW w:w="2151" w:type="dxa"/>
            <w:shd w:val="clear" w:color="auto" w:fill="auto"/>
          </w:tcPr>
          <w:p w14:paraId="5C9EEA57" w14:textId="20B2FA4B" w:rsidR="005B36C8" w:rsidRPr="008821DC" w:rsidRDefault="00582E98" w:rsidP="001C1056">
            <w:pPr>
              <w:jc w:val="both"/>
            </w:pPr>
            <w:r>
              <w:t>Connaissance du contexte d’intervention</w:t>
            </w:r>
          </w:p>
        </w:tc>
        <w:tc>
          <w:tcPr>
            <w:tcW w:w="490" w:type="dxa"/>
            <w:shd w:val="clear" w:color="auto" w:fill="auto"/>
          </w:tcPr>
          <w:p w14:paraId="5790E3A5" w14:textId="77777777" w:rsidR="005B36C8" w:rsidRPr="008821DC" w:rsidRDefault="005B36C8" w:rsidP="001C1056">
            <w:pPr>
              <w:jc w:val="both"/>
            </w:pPr>
            <w:r w:rsidRPr="008821DC">
              <w:t>10</w:t>
            </w:r>
          </w:p>
        </w:tc>
        <w:tc>
          <w:tcPr>
            <w:tcW w:w="6421" w:type="dxa"/>
            <w:shd w:val="clear" w:color="auto" w:fill="auto"/>
          </w:tcPr>
          <w:p w14:paraId="6C7A1B30" w14:textId="68A2BF20" w:rsidR="005B36C8" w:rsidRPr="008821DC" w:rsidRDefault="005B36C8" w:rsidP="00474B71">
            <w:pPr>
              <w:jc w:val="both"/>
            </w:pPr>
            <w:r w:rsidRPr="008821DC">
              <w:t xml:space="preserve">L’existence d’un </w:t>
            </w:r>
            <w:r>
              <w:t>diagnostic</w:t>
            </w:r>
            <w:r w:rsidR="00474B71">
              <w:t xml:space="preserve"> sur la situation des VGO et les actions éventuellement déjà mises en place dans le ou les pays d’intervention incluant un</w:t>
            </w:r>
            <w:r w:rsidRPr="008821DC">
              <w:t xml:space="preserve"> argumentaire développé sur cette base pour justifier</w:t>
            </w:r>
            <w:r w:rsidR="00474B71">
              <w:t xml:space="preserve"> de l’intervention et de la connaissance du/des pays retenus</w:t>
            </w:r>
            <w:r w:rsidRPr="008821DC">
              <w:t xml:space="preserve"> </w:t>
            </w:r>
          </w:p>
        </w:tc>
      </w:tr>
      <w:tr w:rsidR="005B36C8" w:rsidRPr="008821DC" w14:paraId="17125B43" w14:textId="77777777" w:rsidTr="00AC1D40">
        <w:tc>
          <w:tcPr>
            <w:tcW w:w="2151" w:type="dxa"/>
            <w:shd w:val="clear" w:color="auto" w:fill="auto"/>
          </w:tcPr>
          <w:p w14:paraId="65114209" w14:textId="77777777" w:rsidR="005B36C8" w:rsidRPr="008821DC" w:rsidRDefault="005B36C8" w:rsidP="001C1056">
            <w:pPr>
              <w:jc w:val="both"/>
            </w:pPr>
            <w:r>
              <w:t>Pertinence du projet proposé par rapport à la thématique de la FISONG</w:t>
            </w:r>
          </w:p>
        </w:tc>
        <w:tc>
          <w:tcPr>
            <w:tcW w:w="490" w:type="dxa"/>
            <w:shd w:val="clear" w:color="auto" w:fill="auto"/>
          </w:tcPr>
          <w:p w14:paraId="621F2DC8" w14:textId="77777777" w:rsidR="005B36C8" w:rsidRPr="008821DC" w:rsidRDefault="005B36C8" w:rsidP="001C1056">
            <w:pPr>
              <w:jc w:val="both"/>
            </w:pPr>
            <w:r>
              <w:t>1</w:t>
            </w:r>
            <w:r w:rsidRPr="008821DC">
              <w:t>0</w:t>
            </w:r>
          </w:p>
        </w:tc>
        <w:tc>
          <w:tcPr>
            <w:tcW w:w="6421" w:type="dxa"/>
            <w:shd w:val="clear" w:color="auto" w:fill="auto"/>
          </w:tcPr>
          <w:p w14:paraId="612C3BAE" w14:textId="0CFD2710" w:rsidR="005B36C8" w:rsidRPr="008821DC" w:rsidRDefault="005B36C8" w:rsidP="001C1056">
            <w:pPr>
              <w:spacing w:after="0"/>
              <w:jc w:val="both"/>
            </w:pPr>
            <w:r>
              <w:t>-</w:t>
            </w:r>
            <w:r w:rsidRPr="008821DC">
              <w:t xml:space="preserve"> </w:t>
            </w:r>
            <w:r w:rsidR="000862E0">
              <w:t>R</w:t>
            </w:r>
            <w:r w:rsidRPr="008821DC">
              <w:t>éponse à des besoins présents et futurs</w:t>
            </w:r>
          </w:p>
          <w:p w14:paraId="78FA5CDF" w14:textId="5D23B036" w:rsidR="005B36C8" w:rsidRPr="008821DC" w:rsidRDefault="005B36C8" w:rsidP="001C1056">
            <w:pPr>
              <w:spacing w:after="0"/>
              <w:jc w:val="both"/>
            </w:pPr>
            <w:r>
              <w:t xml:space="preserve">- </w:t>
            </w:r>
            <w:r w:rsidR="000862E0">
              <w:t>E</w:t>
            </w:r>
            <w:r w:rsidRPr="008821DC">
              <w:t>fficacité et efficience dans la réponse à ces besoins</w:t>
            </w:r>
          </w:p>
          <w:p w14:paraId="37C9CEF9" w14:textId="5946C239" w:rsidR="005B36C8" w:rsidRPr="008821DC" w:rsidRDefault="005B36C8" w:rsidP="001C1056">
            <w:pPr>
              <w:spacing w:after="0"/>
              <w:jc w:val="both"/>
            </w:pPr>
            <w:r>
              <w:t xml:space="preserve">- </w:t>
            </w:r>
            <w:r w:rsidR="000862E0">
              <w:t>A</w:t>
            </w:r>
            <w:r w:rsidRPr="008821DC">
              <w:t>cceptabilité et cohérence avec le contexte</w:t>
            </w:r>
          </w:p>
          <w:p w14:paraId="3E617DEC" w14:textId="5C23EDB3" w:rsidR="005B36C8" w:rsidRDefault="005B36C8" w:rsidP="00582E98">
            <w:pPr>
              <w:spacing w:after="0"/>
              <w:jc w:val="both"/>
            </w:pPr>
            <w:r>
              <w:t xml:space="preserve">- </w:t>
            </w:r>
            <w:r w:rsidR="000862E0">
              <w:t>E</w:t>
            </w:r>
            <w:r>
              <w:t xml:space="preserve">xplicitation de l’intégration du projet proposé dans une approche </w:t>
            </w:r>
            <w:r w:rsidR="0059441C">
              <w:t>de v</w:t>
            </w:r>
            <w:r w:rsidR="00873244">
              <w:t>iolence</w:t>
            </w:r>
            <w:r w:rsidR="00582E98">
              <w:t>s</w:t>
            </w:r>
            <w:r w:rsidR="00873244">
              <w:t xml:space="preserve"> de genre</w:t>
            </w:r>
            <w:r>
              <w:t xml:space="preserve"> </w:t>
            </w:r>
          </w:p>
          <w:p w14:paraId="6962D3E0" w14:textId="72958689" w:rsidR="00092815" w:rsidRPr="00765A70" w:rsidRDefault="00092815" w:rsidP="00582E98">
            <w:pPr>
              <w:spacing w:after="0"/>
              <w:jc w:val="both"/>
            </w:pPr>
            <w:r w:rsidRPr="00765A70">
              <w:t xml:space="preserve">- Prise en compte des violences gynécologiques </w:t>
            </w:r>
            <w:r w:rsidR="00D718E0" w:rsidRPr="00765A70">
              <w:t>en plus d</w:t>
            </w:r>
            <w:r w:rsidRPr="00765A70">
              <w:t>es violences obstétricale</w:t>
            </w:r>
            <w:r w:rsidR="00D718E0" w:rsidRPr="00765A70">
              <w:t>s, et sur un même continuum</w:t>
            </w:r>
          </w:p>
          <w:p w14:paraId="69FC81F4" w14:textId="6363AB37" w:rsidR="000D2FF3" w:rsidRPr="008821DC" w:rsidRDefault="000D2FF3" w:rsidP="00582E98">
            <w:pPr>
              <w:spacing w:after="0"/>
              <w:jc w:val="both"/>
            </w:pPr>
            <w:r w:rsidRPr="00765A70">
              <w:t xml:space="preserve">- </w:t>
            </w:r>
            <w:r w:rsidR="00D718E0" w:rsidRPr="00765A70">
              <w:t>Proposer une r</w:t>
            </w:r>
            <w:r w:rsidR="00E858DB" w:rsidRPr="00765A70">
              <w:t>éponse</w:t>
            </w:r>
            <w:r w:rsidR="001F0BC9" w:rsidRPr="00765A70">
              <w:t xml:space="preserve"> structurel</w:t>
            </w:r>
            <w:r w:rsidR="00E858DB" w:rsidRPr="00765A70">
              <w:t xml:space="preserve">le </w:t>
            </w:r>
            <w:r w:rsidR="00F0159B" w:rsidRPr="00765A70">
              <w:t xml:space="preserve">pour faire face durablement </w:t>
            </w:r>
            <w:r w:rsidR="00E858DB" w:rsidRPr="00765A70">
              <w:t>à</w:t>
            </w:r>
            <w:r w:rsidR="001F0BC9" w:rsidRPr="00765A70">
              <w:t xml:space="preserve"> ces violences </w:t>
            </w:r>
            <w:r w:rsidR="00E858DB" w:rsidRPr="00765A70">
              <w:t>de genre</w:t>
            </w:r>
          </w:p>
        </w:tc>
      </w:tr>
      <w:tr w:rsidR="005B36C8" w:rsidRPr="001A3215" w14:paraId="6656AE95" w14:textId="77777777" w:rsidTr="00AC1D40">
        <w:tc>
          <w:tcPr>
            <w:tcW w:w="9062" w:type="dxa"/>
            <w:gridSpan w:val="3"/>
            <w:shd w:val="clear" w:color="auto" w:fill="auto"/>
          </w:tcPr>
          <w:p w14:paraId="3643E937" w14:textId="320F47CB" w:rsidR="005B36C8" w:rsidRPr="001A3215" w:rsidRDefault="005B36C8">
            <w:pPr>
              <w:jc w:val="both"/>
              <w:rPr>
                <w:b/>
              </w:rPr>
            </w:pPr>
            <w:r w:rsidRPr="001A3215">
              <w:rPr>
                <w:b/>
              </w:rPr>
              <w:t xml:space="preserve">Conduite du </w:t>
            </w:r>
            <w:r w:rsidR="00582E98">
              <w:rPr>
                <w:b/>
              </w:rPr>
              <w:t xml:space="preserve">projet </w:t>
            </w:r>
            <w:r w:rsidRPr="001A3215">
              <w:rPr>
                <w:b/>
              </w:rPr>
              <w:t xml:space="preserve"> (</w:t>
            </w:r>
            <w:r w:rsidR="002D1166">
              <w:rPr>
                <w:b/>
              </w:rPr>
              <w:t>4</w:t>
            </w:r>
            <w:r w:rsidR="002D1166" w:rsidRPr="001A3215">
              <w:rPr>
                <w:b/>
              </w:rPr>
              <w:t>0</w:t>
            </w:r>
            <w:r w:rsidRPr="001A3215">
              <w:rPr>
                <w:b/>
              </w:rPr>
              <w:t>)</w:t>
            </w:r>
          </w:p>
        </w:tc>
      </w:tr>
      <w:tr w:rsidR="005B36C8" w:rsidRPr="008821DC" w14:paraId="5AFD1C08" w14:textId="77777777" w:rsidTr="00AC1D40">
        <w:tc>
          <w:tcPr>
            <w:tcW w:w="2151" w:type="dxa"/>
            <w:shd w:val="clear" w:color="auto" w:fill="auto"/>
          </w:tcPr>
          <w:p w14:paraId="26746E89" w14:textId="27792EE5" w:rsidR="005B36C8" w:rsidRPr="008821DC" w:rsidRDefault="005B36C8" w:rsidP="009C3823">
            <w:pPr>
              <w:jc w:val="both"/>
            </w:pPr>
            <w:r w:rsidRPr="008821DC">
              <w:t>Processus d’</w:t>
            </w:r>
            <w:r w:rsidR="00A85F1F">
              <w:t xml:space="preserve"> implémentation et de pérennisation du proj</w:t>
            </w:r>
            <w:r w:rsidR="009C3823">
              <w:t>et</w:t>
            </w:r>
          </w:p>
        </w:tc>
        <w:tc>
          <w:tcPr>
            <w:tcW w:w="490" w:type="dxa"/>
            <w:shd w:val="clear" w:color="auto" w:fill="auto"/>
          </w:tcPr>
          <w:p w14:paraId="5BC14087" w14:textId="77777777" w:rsidR="005B36C8" w:rsidRPr="008821DC" w:rsidRDefault="005B36C8" w:rsidP="001C1056">
            <w:pPr>
              <w:jc w:val="both"/>
            </w:pPr>
            <w:r w:rsidRPr="008821DC">
              <w:t>10</w:t>
            </w:r>
          </w:p>
        </w:tc>
        <w:tc>
          <w:tcPr>
            <w:tcW w:w="6421" w:type="dxa"/>
            <w:shd w:val="clear" w:color="auto" w:fill="auto"/>
          </w:tcPr>
          <w:p w14:paraId="1FD5752E" w14:textId="2206C0DF" w:rsidR="005B36C8" w:rsidRPr="008821DC" w:rsidRDefault="009C3823" w:rsidP="009C3823">
            <w:pPr>
              <w:jc w:val="both"/>
            </w:pPr>
            <w:r>
              <w:t>La présentation,</w:t>
            </w:r>
            <w:r w:rsidR="005B36C8" w:rsidRPr="008821DC">
              <w:t xml:space="preserve"> </w:t>
            </w:r>
            <w:r>
              <w:t>l</w:t>
            </w:r>
            <w:r w:rsidR="005B36C8" w:rsidRPr="008821DC">
              <w:t>a clarté</w:t>
            </w:r>
            <w:r w:rsidR="00252879">
              <w:t xml:space="preserve">, </w:t>
            </w:r>
            <w:r w:rsidR="00252879" w:rsidRPr="00765A70">
              <w:t>la prise en compte des risques</w:t>
            </w:r>
            <w:r w:rsidR="005B36C8" w:rsidRPr="008821DC">
              <w:t xml:space="preserve"> et la faisabilité du pro</w:t>
            </w:r>
            <w:r w:rsidR="00582E98">
              <w:t>jet</w:t>
            </w:r>
            <w:r>
              <w:t xml:space="preserve"> </w:t>
            </w:r>
            <w:r w:rsidRPr="008821DC">
              <w:t>avec ce qui a été fait en amont et ce qui est envisagé en aval</w:t>
            </w:r>
            <w:r w:rsidR="001F2F27">
              <w:t xml:space="preserve">. </w:t>
            </w:r>
            <w:r w:rsidR="00AA3BC1">
              <w:t>Préparation du passage à l’échelle, activités de dissémination</w:t>
            </w:r>
            <w:r w:rsidR="00C51CB5">
              <w:t xml:space="preserve">, </w:t>
            </w:r>
            <w:r w:rsidR="00222A82">
              <w:t>pérennisation de l’action</w:t>
            </w:r>
            <w:r w:rsidR="00A74E5A">
              <w:t>.</w:t>
            </w:r>
          </w:p>
        </w:tc>
      </w:tr>
      <w:tr w:rsidR="005B36C8" w:rsidRPr="008821DC" w14:paraId="77F826E7" w14:textId="77777777" w:rsidTr="00AC1D40">
        <w:tc>
          <w:tcPr>
            <w:tcW w:w="2151" w:type="dxa"/>
            <w:shd w:val="clear" w:color="auto" w:fill="auto"/>
          </w:tcPr>
          <w:p w14:paraId="3B295332" w14:textId="77777777" w:rsidR="005B36C8" w:rsidRPr="008821DC" w:rsidRDefault="005B36C8" w:rsidP="001C1056">
            <w:pPr>
              <w:jc w:val="both"/>
            </w:pPr>
            <w:r w:rsidRPr="008821DC">
              <w:t>Partenariats pour l’innovation</w:t>
            </w:r>
          </w:p>
        </w:tc>
        <w:tc>
          <w:tcPr>
            <w:tcW w:w="490" w:type="dxa"/>
            <w:shd w:val="clear" w:color="auto" w:fill="auto"/>
          </w:tcPr>
          <w:p w14:paraId="3B697B68" w14:textId="77777777" w:rsidR="005B36C8" w:rsidRPr="008821DC" w:rsidRDefault="005B36C8" w:rsidP="001C1056">
            <w:pPr>
              <w:jc w:val="both"/>
            </w:pPr>
            <w:r w:rsidRPr="008821DC">
              <w:t>10</w:t>
            </w:r>
          </w:p>
        </w:tc>
        <w:tc>
          <w:tcPr>
            <w:tcW w:w="6421" w:type="dxa"/>
            <w:shd w:val="clear" w:color="auto" w:fill="auto"/>
          </w:tcPr>
          <w:p w14:paraId="58B0213E" w14:textId="74EBC42F" w:rsidR="005B36C8" w:rsidRPr="008821DC" w:rsidRDefault="005B36C8" w:rsidP="00582E98">
            <w:pPr>
              <w:jc w:val="both"/>
            </w:pPr>
            <w:r>
              <w:t>La diversité d</w:t>
            </w:r>
            <w:r w:rsidRPr="008821DC">
              <w:t>es partenariats proposés</w:t>
            </w:r>
            <w:r>
              <w:t xml:space="preserve">, </w:t>
            </w:r>
            <w:r w:rsidRPr="008821DC">
              <w:t>la démarche visant à les consolider et à favoriser l’appropriation d</w:t>
            </w:r>
            <w:r w:rsidR="00582E98">
              <w:t>u projet et de la thématique</w:t>
            </w:r>
            <w:r w:rsidRPr="008821DC">
              <w:t>, en vue de sa diffusion</w:t>
            </w:r>
            <w:r>
              <w:t>, les dispositifs de coopération entre les partenaires</w:t>
            </w:r>
          </w:p>
        </w:tc>
      </w:tr>
      <w:tr w:rsidR="005B36C8" w:rsidRPr="008821DC" w14:paraId="63F237ED" w14:textId="77777777" w:rsidTr="00AC1D40">
        <w:tc>
          <w:tcPr>
            <w:tcW w:w="2151" w:type="dxa"/>
            <w:shd w:val="clear" w:color="auto" w:fill="auto"/>
          </w:tcPr>
          <w:p w14:paraId="05F974E4" w14:textId="6C9CD85C" w:rsidR="005B36C8" w:rsidRPr="008821DC" w:rsidRDefault="00476F6F" w:rsidP="001C1056">
            <w:pPr>
              <w:jc w:val="both"/>
            </w:pPr>
            <w:r>
              <w:t>Recherche action, Suivi-</w:t>
            </w:r>
            <w:r w:rsidR="005B36C8" w:rsidRPr="008821DC">
              <w:t>Evaluation et capitalisation</w:t>
            </w:r>
          </w:p>
        </w:tc>
        <w:tc>
          <w:tcPr>
            <w:tcW w:w="490" w:type="dxa"/>
            <w:shd w:val="clear" w:color="auto" w:fill="auto"/>
          </w:tcPr>
          <w:p w14:paraId="4E0603CD" w14:textId="0F41F64A" w:rsidR="005B36C8" w:rsidRPr="008821DC" w:rsidRDefault="00476F6F" w:rsidP="001C1056">
            <w:pPr>
              <w:jc w:val="both"/>
            </w:pPr>
            <w:r>
              <w:t>2</w:t>
            </w:r>
            <w:r w:rsidR="005B36C8" w:rsidRPr="008821DC">
              <w:t>0</w:t>
            </w:r>
          </w:p>
        </w:tc>
        <w:tc>
          <w:tcPr>
            <w:tcW w:w="6421" w:type="dxa"/>
            <w:shd w:val="clear" w:color="auto" w:fill="auto"/>
          </w:tcPr>
          <w:p w14:paraId="57CCB96C" w14:textId="6AFE529B" w:rsidR="005B36C8" w:rsidRPr="008821DC" w:rsidRDefault="005B36C8" w:rsidP="00582E98">
            <w:pPr>
              <w:jc w:val="both"/>
            </w:pPr>
            <w:r w:rsidRPr="008821DC">
              <w:t xml:space="preserve">Qualité des dispositions avancées pour </w:t>
            </w:r>
            <w:r w:rsidR="00476F6F">
              <w:t xml:space="preserve">la recherche action, le suivi  et </w:t>
            </w:r>
            <w:r w:rsidRPr="008821DC">
              <w:t xml:space="preserve">l’évaluation des </w:t>
            </w:r>
            <w:r w:rsidR="00582E98">
              <w:t>activités mises en place</w:t>
            </w:r>
            <w:r w:rsidRPr="008821DC">
              <w:t>, la capitalisation et la diffusion des acquis</w:t>
            </w:r>
          </w:p>
        </w:tc>
      </w:tr>
      <w:tr w:rsidR="005B36C8" w:rsidRPr="001A3215" w14:paraId="037A65C3" w14:textId="77777777" w:rsidTr="002D1166">
        <w:tc>
          <w:tcPr>
            <w:tcW w:w="9250" w:type="dxa"/>
            <w:gridSpan w:val="3"/>
            <w:shd w:val="clear" w:color="auto" w:fill="auto"/>
          </w:tcPr>
          <w:p w14:paraId="5E587B2D" w14:textId="66E63778" w:rsidR="005B36C8" w:rsidRPr="001A3215" w:rsidRDefault="005B36C8" w:rsidP="001C1056">
            <w:pPr>
              <w:jc w:val="both"/>
              <w:rPr>
                <w:b/>
                <w:highlight w:val="yellow"/>
              </w:rPr>
            </w:pPr>
            <w:r w:rsidRPr="001A3215">
              <w:rPr>
                <w:b/>
              </w:rPr>
              <w:t>Intégration locale du projet (20)</w:t>
            </w:r>
          </w:p>
        </w:tc>
      </w:tr>
      <w:tr w:rsidR="005B36C8" w14:paraId="3823FB70" w14:textId="77777777" w:rsidTr="001D7D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2" w:author="GIRON Claire" w:date="2020-12-22T11:27: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2151" w:type="dxa"/>
            <w:shd w:val="clear" w:color="auto" w:fill="auto"/>
            <w:tcPrChange w:id="133" w:author="GIRON Claire" w:date="2020-12-22T11:27:00Z">
              <w:tcPr>
                <w:tcW w:w="2172" w:type="dxa"/>
                <w:gridSpan w:val="2"/>
                <w:shd w:val="clear" w:color="auto" w:fill="auto"/>
              </w:tcPr>
            </w:tcPrChange>
          </w:tcPr>
          <w:p w14:paraId="099E9959" w14:textId="77777777" w:rsidR="005B36C8" w:rsidRDefault="005B36C8" w:rsidP="001C1056">
            <w:pPr>
              <w:jc w:val="both"/>
            </w:pPr>
            <w:r>
              <w:t>Valorisation des ressources locales</w:t>
            </w:r>
          </w:p>
        </w:tc>
        <w:tc>
          <w:tcPr>
            <w:tcW w:w="490" w:type="dxa"/>
            <w:shd w:val="clear" w:color="auto" w:fill="auto"/>
            <w:tcPrChange w:id="134" w:author="GIRON Claire" w:date="2020-12-22T11:27:00Z">
              <w:tcPr>
                <w:tcW w:w="456" w:type="dxa"/>
                <w:gridSpan w:val="2"/>
                <w:shd w:val="clear" w:color="auto" w:fill="auto"/>
              </w:tcPr>
            </w:tcPrChange>
          </w:tcPr>
          <w:p w14:paraId="246DA4F4" w14:textId="7442F178" w:rsidR="005B36C8" w:rsidRDefault="001708EC" w:rsidP="001C1056">
            <w:pPr>
              <w:jc w:val="both"/>
            </w:pPr>
            <w:r>
              <w:t>10</w:t>
            </w:r>
          </w:p>
        </w:tc>
        <w:tc>
          <w:tcPr>
            <w:tcW w:w="6421" w:type="dxa"/>
            <w:shd w:val="clear" w:color="auto" w:fill="auto"/>
            <w:tcPrChange w:id="135" w:author="GIRON Claire" w:date="2020-12-22T11:27:00Z">
              <w:tcPr>
                <w:tcW w:w="6622" w:type="dxa"/>
                <w:shd w:val="clear" w:color="auto" w:fill="auto"/>
              </w:tcPr>
            </w:tcPrChange>
          </w:tcPr>
          <w:p w14:paraId="1D5DF245" w14:textId="001AE347" w:rsidR="005B36C8" w:rsidRDefault="005B36C8" w:rsidP="002D10A5">
            <w:pPr>
              <w:jc w:val="both"/>
            </w:pPr>
            <w:r>
              <w:t xml:space="preserve">Valorisation des savoirs, savoir-faire et compétences locales et nationales pour </w:t>
            </w:r>
            <w:r w:rsidR="002D10A5">
              <w:t>l’implémentation du projet</w:t>
            </w:r>
            <w:r>
              <w:t xml:space="preserve"> </w:t>
            </w:r>
          </w:p>
        </w:tc>
      </w:tr>
      <w:tr w:rsidR="005B36C8" w14:paraId="2DC04721" w14:textId="77777777" w:rsidTr="001D7D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6" w:author="GIRON Claire" w:date="2020-12-22T11:27: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2151" w:type="dxa"/>
            <w:shd w:val="clear" w:color="auto" w:fill="auto"/>
            <w:tcPrChange w:id="137" w:author="GIRON Claire" w:date="2020-12-22T11:27:00Z">
              <w:tcPr>
                <w:tcW w:w="2172" w:type="dxa"/>
                <w:gridSpan w:val="2"/>
                <w:shd w:val="clear" w:color="auto" w:fill="auto"/>
              </w:tcPr>
            </w:tcPrChange>
          </w:tcPr>
          <w:p w14:paraId="5771BE45" w14:textId="77777777" w:rsidR="005B36C8" w:rsidRDefault="005B36C8" w:rsidP="001C1056">
            <w:pPr>
              <w:jc w:val="both"/>
            </w:pPr>
            <w:r>
              <w:t>Cohérence  / politiques publiques</w:t>
            </w:r>
          </w:p>
        </w:tc>
        <w:tc>
          <w:tcPr>
            <w:tcW w:w="490" w:type="dxa"/>
            <w:shd w:val="clear" w:color="auto" w:fill="auto"/>
            <w:tcPrChange w:id="138" w:author="GIRON Claire" w:date="2020-12-22T11:27:00Z">
              <w:tcPr>
                <w:tcW w:w="456" w:type="dxa"/>
                <w:gridSpan w:val="2"/>
                <w:shd w:val="clear" w:color="auto" w:fill="auto"/>
              </w:tcPr>
            </w:tcPrChange>
          </w:tcPr>
          <w:p w14:paraId="419D3AF4" w14:textId="2DEE9DD2" w:rsidR="005B36C8" w:rsidRDefault="001708EC" w:rsidP="001C1056">
            <w:pPr>
              <w:jc w:val="both"/>
            </w:pPr>
            <w:r>
              <w:t>10</w:t>
            </w:r>
          </w:p>
        </w:tc>
        <w:tc>
          <w:tcPr>
            <w:tcW w:w="6421" w:type="dxa"/>
            <w:shd w:val="clear" w:color="auto" w:fill="auto"/>
            <w:tcPrChange w:id="139" w:author="GIRON Claire" w:date="2020-12-22T11:27:00Z">
              <w:tcPr>
                <w:tcW w:w="6622" w:type="dxa"/>
                <w:shd w:val="clear" w:color="auto" w:fill="auto"/>
              </w:tcPr>
            </w:tcPrChange>
          </w:tcPr>
          <w:p w14:paraId="47EB6CF8" w14:textId="265DD48E" w:rsidR="005B36C8" w:rsidRDefault="005B36C8" w:rsidP="002D10A5">
            <w:pPr>
              <w:jc w:val="both"/>
            </w:pPr>
            <w:r>
              <w:t xml:space="preserve">La cohérence du processus </w:t>
            </w:r>
            <w:r w:rsidR="002D10A5">
              <w:t xml:space="preserve">proposé </w:t>
            </w:r>
            <w:r>
              <w:t xml:space="preserve">vis-à-vis du contexte institutionnel, des politiques publiques et sa capacité à les inspirer </w:t>
            </w:r>
          </w:p>
        </w:tc>
      </w:tr>
      <w:tr w:rsidR="005B36C8" w:rsidRPr="001A3215" w14:paraId="69B2E807" w14:textId="77777777" w:rsidTr="007B7481">
        <w:tc>
          <w:tcPr>
            <w:tcW w:w="9062" w:type="dxa"/>
            <w:gridSpan w:val="3"/>
            <w:shd w:val="clear" w:color="auto" w:fill="auto"/>
          </w:tcPr>
          <w:p w14:paraId="44757915" w14:textId="289E3D77" w:rsidR="005B36C8" w:rsidRPr="001A3215" w:rsidRDefault="005B36C8" w:rsidP="001C1056">
            <w:pPr>
              <w:jc w:val="both"/>
              <w:rPr>
                <w:b/>
              </w:rPr>
            </w:pPr>
            <w:r w:rsidRPr="001A3215">
              <w:rPr>
                <w:b/>
              </w:rPr>
              <w:t>Moyens mis en œuvre (</w:t>
            </w:r>
            <w:r w:rsidR="001D7D32">
              <w:rPr>
                <w:b/>
              </w:rPr>
              <w:t>3</w:t>
            </w:r>
            <w:r w:rsidRPr="001A3215">
              <w:rPr>
                <w:b/>
              </w:rPr>
              <w:t>0)</w:t>
            </w:r>
          </w:p>
        </w:tc>
      </w:tr>
      <w:tr w:rsidR="005B36C8" w14:paraId="2A7E856A" w14:textId="77777777" w:rsidTr="001D7D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0" w:author="GIRON Claire" w:date="2020-12-22T11:27: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2151" w:type="dxa"/>
            <w:shd w:val="clear" w:color="auto" w:fill="auto"/>
            <w:tcPrChange w:id="141" w:author="GIRON Claire" w:date="2020-12-22T11:27:00Z">
              <w:tcPr>
                <w:tcW w:w="2172" w:type="dxa"/>
                <w:gridSpan w:val="2"/>
                <w:shd w:val="clear" w:color="auto" w:fill="auto"/>
              </w:tcPr>
            </w:tcPrChange>
          </w:tcPr>
          <w:p w14:paraId="0F7C46BD" w14:textId="77777777" w:rsidR="005B36C8" w:rsidRDefault="005B36C8" w:rsidP="001C1056">
            <w:pPr>
              <w:jc w:val="both"/>
            </w:pPr>
            <w:r>
              <w:t>Budget</w:t>
            </w:r>
          </w:p>
        </w:tc>
        <w:tc>
          <w:tcPr>
            <w:tcW w:w="490" w:type="dxa"/>
            <w:shd w:val="clear" w:color="auto" w:fill="auto"/>
            <w:tcPrChange w:id="142" w:author="GIRON Claire" w:date="2020-12-22T11:27:00Z">
              <w:tcPr>
                <w:tcW w:w="456" w:type="dxa"/>
                <w:gridSpan w:val="2"/>
                <w:shd w:val="clear" w:color="auto" w:fill="auto"/>
              </w:tcPr>
            </w:tcPrChange>
          </w:tcPr>
          <w:p w14:paraId="2DB26D3E" w14:textId="77777777" w:rsidR="005B36C8" w:rsidRDefault="005B36C8" w:rsidP="001C1056">
            <w:pPr>
              <w:jc w:val="both"/>
            </w:pPr>
            <w:r>
              <w:t>10</w:t>
            </w:r>
          </w:p>
        </w:tc>
        <w:tc>
          <w:tcPr>
            <w:tcW w:w="6421" w:type="dxa"/>
            <w:shd w:val="clear" w:color="auto" w:fill="auto"/>
            <w:tcPrChange w:id="143" w:author="GIRON Claire" w:date="2020-12-22T11:27:00Z">
              <w:tcPr>
                <w:tcW w:w="6622" w:type="dxa"/>
                <w:shd w:val="clear" w:color="auto" w:fill="auto"/>
              </w:tcPr>
            </w:tcPrChange>
          </w:tcPr>
          <w:p w14:paraId="3115C049" w14:textId="77777777" w:rsidR="005B36C8" w:rsidRDefault="005B36C8" w:rsidP="001C1056">
            <w:pPr>
              <w:jc w:val="both"/>
            </w:pPr>
            <w:r>
              <w:t>L’adéquation entre les objectifs et les moyens, les justifications avancées, l’efficience, la pérennité</w:t>
            </w:r>
          </w:p>
        </w:tc>
      </w:tr>
      <w:tr w:rsidR="005B36C8" w14:paraId="1F56C175" w14:textId="77777777" w:rsidTr="001D7D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4" w:author="GIRON Claire" w:date="2020-12-22T11:27: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2151" w:type="dxa"/>
            <w:shd w:val="clear" w:color="auto" w:fill="auto"/>
            <w:tcPrChange w:id="145" w:author="GIRON Claire" w:date="2020-12-22T11:27:00Z">
              <w:tcPr>
                <w:tcW w:w="2172" w:type="dxa"/>
                <w:gridSpan w:val="2"/>
                <w:shd w:val="clear" w:color="auto" w:fill="auto"/>
              </w:tcPr>
            </w:tcPrChange>
          </w:tcPr>
          <w:p w14:paraId="52D105A1" w14:textId="77777777" w:rsidR="005B36C8" w:rsidRDefault="005B36C8" w:rsidP="001C1056">
            <w:pPr>
              <w:jc w:val="both"/>
            </w:pPr>
            <w:r>
              <w:t>Capacités de l’ONG / du consortium</w:t>
            </w:r>
          </w:p>
        </w:tc>
        <w:tc>
          <w:tcPr>
            <w:tcW w:w="490" w:type="dxa"/>
            <w:shd w:val="clear" w:color="auto" w:fill="auto"/>
            <w:tcPrChange w:id="146" w:author="GIRON Claire" w:date="2020-12-22T11:27:00Z">
              <w:tcPr>
                <w:tcW w:w="456" w:type="dxa"/>
                <w:gridSpan w:val="2"/>
                <w:shd w:val="clear" w:color="auto" w:fill="auto"/>
              </w:tcPr>
            </w:tcPrChange>
          </w:tcPr>
          <w:p w14:paraId="37D1CE53" w14:textId="00390CCE" w:rsidR="005B36C8" w:rsidRDefault="005B36C8" w:rsidP="001C1056">
            <w:pPr>
              <w:jc w:val="both"/>
            </w:pPr>
            <w:r>
              <w:t>1</w:t>
            </w:r>
            <w:r w:rsidR="004B579D">
              <w:t>0</w:t>
            </w:r>
          </w:p>
        </w:tc>
        <w:tc>
          <w:tcPr>
            <w:tcW w:w="6421" w:type="dxa"/>
            <w:shd w:val="clear" w:color="auto" w:fill="auto"/>
            <w:tcPrChange w:id="147" w:author="GIRON Claire" w:date="2020-12-22T11:27:00Z">
              <w:tcPr>
                <w:tcW w:w="6622" w:type="dxa"/>
                <w:shd w:val="clear" w:color="auto" w:fill="auto"/>
              </w:tcPr>
            </w:tcPrChange>
          </w:tcPr>
          <w:p w14:paraId="06E52205" w14:textId="2AE67E40" w:rsidR="005B36C8" w:rsidRDefault="005B36C8" w:rsidP="002D10A5">
            <w:pPr>
              <w:jc w:val="both"/>
            </w:pPr>
            <w:r>
              <w:t xml:space="preserve">Capacités à conduire un processus </w:t>
            </w:r>
            <w:r w:rsidR="002D10A5">
              <w:t xml:space="preserve">de changement </w:t>
            </w:r>
            <w:r>
              <w:t>et un dialogue sectoriel avec l’AFD ou dispositions prévues pour les acquérir</w:t>
            </w:r>
          </w:p>
        </w:tc>
      </w:tr>
      <w:tr w:rsidR="005B36C8" w14:paraId="626629A0" w14:textId="77777777" w:rsidTr="001D7D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8" w:author="GIRON Claire" w:date="2020-12-22T11:27: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2151" w:type="dxa"/>
            <w:shd w:val="clear" w:color="auto" w:fill="auto"/>
            <w:tcPrChange w:id="149" w:author="GIRON Claire" w:date="2020-12-22T11:27:00Z">
              <w:tcPr>
                <w:tcW w:w="2172" w:type="dxa"/>
                <w:gridSpan w:val="2"/>
                <w:shd w:val="clear" w:color="auto" w:fill="auto"/>
              </w:tcPr>
            </w:tcPrChange>
          </w:tcPr>
          <w:p w14:paraId="5E485C5A" w14:textId="77777777" w:rsidR="005B36C8" w:rsidRDefault="005B36C8" w:rsidP="001C1056">
            <w:pPr>
              <w:jc w:val="both"/>
            </w:pPr>
            <w:r>
              <w:t>Méthodologie</w:t>
            </w:r>
          </w:p>
        </w:tc>
        <w:tc>
          <w:tcPr>
            <w:tcW w:w="490" w:type="dxa"/>
            <w:shd w:val="clear" w:color="auto" w:fill="auto"/>
            <w:tcPrChange w:id="150" w:author="GIRON Claire" w:date="2020-12-22T11:27:00Z">
              <w:tcPr>
                <w:tcW w:w="456" w:type="dxa"/>
                <w:gridSpan w:val="2"/>
                <w:shd w:val="clear" w:color="auto" w:fill="auto"/>
              </w:tcPr>
            </w:tcPrChange>
          </w:tcPr>
          <w:p w14:paraId="190BC10A" w14:textId="422613CF" w:rsidR="005B36C8" w:rsidRDefault="005B36C8" w:rsidP="001C1056">
            <w:pPr>
              <w:jc w:val="both"/>
            </w:pPr>
            <w:r>
              <w:t>1</w:t>
            </w:r>
            <w:r w:rsidR="004B579D">
              <w:t>0</w:t>
            </w:r>
          </w:p>
        </w:tc>
        <w:tc>
          <w:tcPr>
            <w:tcW w:w="6421" w:type="dxa"/>
            <w:shd w:val="clear" w:color="auto" w:fill="auto"/>
            <w:tcPrChange w:id="151" w:author="GIRON Claire" w:date="2020-12-22T11:27:00Z">
              <w:tcPr>
                <w:tcW w:w="6622" w:type="dxa"/>
                <w:shd w:val="clear" w:color="auto" w:fill="auto"/>
              </w:tcPr>
            </w:tcPrChange>
          </w:tcPr>
          <w:p w14:paraId="72F95606" w14:textId="77777777" w:rsidR="005B36C8" w:rsidRDefault="005B36C8" w:rsidP="001C1056">
            <w:pPr>
              <w:jc w:val="both"/>
            </w:pPr>
            <w:r>
              <w:t>La méthodologie générale de mise en œuvre du projet</w:t>
            </w:r>
          </w:p>
        </w:tc>
      </w:tr>
    </w:tbl>
    <w:p w14:paraId="44C4B0FC" w14:textId="77777777" w:rsidR="005D6BD8" w:rsidRPr="00637C40" w:rsidRDefault="005D6BD8" w:rsidP="00BF6A65">
      <w:pPr>
        <w:pStyle w:val="Grandtitre"/>
        <w:numPr>
          <w:ilvl w:val="0"/>
          <w:numId w:val="7"/>
        </w:numPr>
      </w:pPr>
      <w:bookmarkStart w:id="152" w:name="_Toc59094204"/>
      <w:bookmarkStart w:id="153" w:name="_Toc59094261"/>
      <w:bookmarkStart w:id="154" w:name="_Toc60939099"/>
      <w:r w:rsidRPr="00637C40">
        <w:lastRenderedPageBreak/>
        <w:t>Calendrier prévisionnel</w:t>
      </w:r>
      <w:bookmarkEnd w:id="152"/>
      <w:bookmarkEnd w:id="153"/>
      <w:bookmarkEnd w:id="154"/>
      <w:r w:rsidRPr="00637C40">
        <w:t xml:space="preserve"> </w:t>
      </w:r>
    </w:p>
    <w:p w14:paraId="48C68B83" w14:textId="77777777" w:rsidR="005D6BD8" w:rsidRPr="005D6BD8" w:rsidRDefault="005D6BD8" w:rsidP="005D6BD8">
      <w:pPr>
        <w:keepNext/>
        <w:keepLines/>
      </w:pPr>
      <w:r w:rsidRPr="00D13019">
        <w:t xml:space="preserve">Le calendrier prévisionnel indicatif pour cette FISONG est le suivant : </w:t>
      </w:r>
    </w:p>
    <w:p w14:paraId="03E303E0" w14:textId="77777777" w:rsidR="005D6BD8" w:rsidRPr="00D13019" w:rsidRDefault="005D6BD8" w:rsidP="005D6BD8">
      <w:pPr>
        <w:pStyle w:val="Lgende"/>
        <w:keepLines/>
        <w:jc w:val="left"/>
      </w:pPr>
    </w:p>
    <w:tbl>
      <w:tblPr>
        <w:tblStyle w:val="Grilledutableau"/>
        <w:tblW w:w="0" w:type="auto"/>
        <w:tblLook w:val="04A0" w:firstRow="1" w:lastRow="0" w:firstColumn="1" w:lastColumn="0" w:noHBand="0" w:noVBand="1"/>
      </w:tblPr>
      <w:tblGrid>
        <w:gridCol w:w="4533"/>
        <w:gridCol w:w="4529"/>
      </w:tblGrid>
      <w:tr w:rsidR="005D6BD8" w:rsidRPr="00D13019" w14:paraId="3AA88177" w14:textId="77777777" w:rsidTr="004C697C">
        <w:tc>
          <w:tcPr>
            <w:tcW w:w="9062" w:type="dxa"/>
            <w:gridSpan w:val="2"/>
          </w:tcPr>
          <w:p w14:paraId="37184F57" w14:textId="77777777" w:rsidR="005D6BD8" w:rsidRPr="00D13019" w:rsidRDefault="005D6BD8" w:rsidP="005D6BD8">
            <w:pPr>
              <w:keepNext/>
              <w:keepLines/>
              <w:jc w:val="center"/>
              <w:rPr>
                <w:b/>
              </w:rPr>
            </w:pPr>
            <w:r w:rsidRPr="00D13019">
              <w:rPr>
                <w:b/>
              </w:rPr>
              <w:t>Calendrier FISONG 2020 « </w:t>
            </w:r>
            <w:r>
              <w:rPr>
                <w:b/>
              </w:rPr>
              <w:t>lutte contre les VOG</w:t>
            </w:r>
            <w:r w:rsidRPr="00D13019">
              <w:rPr>
                <w:b/>
              </w:rPr>
              <w:t> »</w:t>
            </w:r>
          </w:p>
        </w:tc>
      </w:tr>
      <w:tr w:rsidR="005D6BD8" w:rsidRPr="00D13019" w14:paraId="6D7F8320" w14:textId="77777777" w:rsidTr="004C697C">
        <w:tc>
          <w:tcPr>
            <w:tcW w:w="4533" w:type="dxa"/>
          </w:tcPr>
          <w:p w14:paraId="6D7B894B" w14:textId="77777777" w:rsidR="005D6BD8" w:rsidRPr="00D13019" w:rsidRDefault="005D6BD8" w:rsidP="004C697C">
            <w:r w:rsidRPr="00D13019">
              <w:t>Lancement de l’appel à proposition</w:t>
            </w:r>
          </w:p>
        </w:tc>
        <w:tc>
          <w:tcPr>
            <w:tcW w:w="4529" w:type="dxa"/>
          </w:tcPr>
          <w:p w14:paraId="374F04FF" w14:textId="42984F62" w:rsidR="005D6BD8" w:rsidRPr="00D13019" w:rsidRDefault="00337148" w:rsidP="004C697C">
            <w:r>
              <w:t>8</w:t>
            </w:r>
            <w:r w:rsidR="00CB0FE9">
              <w:t xml:space="preserve"> février</w:t>
            </w:r>
            <w:r w:rsidR="005D6BD8">
              <w:t xml:space="preserve"> 2021</w:t>
            </w:r>
          </w:p>
        </w:tc>
      </w:tr>
      <w:tr w:rsidR="005D6BD8" w:rsidRPr="00D13019" w14:paraId="465A7E55" w14:textId="77777777" w:rsidTr="004C697C">
        <w:tc>
          <w:tcPr>
            <w:tcW w:w="4533" w:type="dxa"/>
          </w:tcPr>
          <w:p w14:paraId="4FD65052" w14:textId="77777777" w:rsidR="005D6BD8" w:rsidRPr="00D13019" w:rsidRDefault="005D6BD8" w:rsidP="004C697C">
            <w:r w:rsidRPr="00D13019">
              <w:t>Réception des offres</w:t>
            </w:r>
          </w:p>
        </w:tc>
        <w:tc>
          <w:tcPr>
            <w:tcW w:w="4529" w:type="dxa"/>
          </w:tcPr>
          <w:p w14:paraId="6BD430A1" w14:textId="346E9957" w:rsidR="005D6BD8" w:rsidRPr="00D13019" w:rsidRDefault="00337148" w:rsidP="00CB0FE9">
            <w:r>
              <w:t xml:space="preserve">15 </w:t>
            </w:r>
            <w:r w:rsidR="00CB0FE9">
              <w:t>mai</w:t>
            </w:r>
            <w:r w:rsidR="005D6BD8">
              <w:t xml:space="preserve"> 2021</w:t>
            </w:r>
          </w:p>
        </w:tc>
      </w:tr>
      <w:tr w:rsidR="005D6BD8" w:rsidRPr="00D13019" w14:paraId="39636929" w14:textId="77777777" w:rsidTr="004C697C">
        <w:tc>
          <w:tcPr>
            <w:tcW w:w="4533" w:type="dxa"/>
          </w:tcPr>
          <w:p w14:paraId="18AD67CF" w14:textId="4AF79017" w:rsidR="005D6BD8" w:rsidRPr="00D13019" w:rsidRDefault="00B44CF4" w:rsidP="00B44CF4">
            <w:r>
              <w:t>Pré-s</w:t>
            </w:r>
            <w:r w:rsidR="005D6BD8" w:rsidRPr="00D13019">
              <w:t>élection</w:t>
            </w:r>
            <w:r>
              <w:t xml:space="preserve"> et demande d’avis ambassadeurs</w:t>
            </w:r>
            <w:r w:rsidR="005D6BD8" w:rsidRPr="00D13019">
              <w:t xml:space="preserve"> </w:t>
            </w:r>
          </w:p>
        </w:tc>
        <w:tc>
          <w:tcPr>
            <w:tcW w:w="4529" w:type="dxa"/>
          </w:tcPr>
          <w:p w14:paraId="4F743D60" w14:textId="6C40041C" w:rsidR="005D6BD8" w:rsidRPr="00D13019" w:rsidRDefault="00145BA9">
            <w:pPr>
              <w:rPr>
                <w:highlight w:val="cyan"/>
              </w:rPr>
            </w:pPr>
            <w:r>
              <w:t>mi-juin</w:t>
            </w:r>
            <w:r w:rsidR="00CB0FE9" w:rsidRPr="00CB0FE9">
              <w:t xml:space="preserve"> </w:t>
            </w:r>
            <w:r w:rsidR="006143C9" w:rsidRPr="00CB0FE9">
              <w:t>2021</w:t>
            </w:r>
          </w:p>
        </w:tc>
      </w:tr>
      <w:tr w:rsidR="006A49C4" w:rsidRPr="00D13019" w14:paraId="34F3444D" w14:textId="77777777" w:rsidTr="004C697C">
        <w:tc>
          <w:tcPr>
            <w:tcW w:w="4533" w:type="dxa"/>
          </w:tcPr>
          <w:p w14:paraId="592F50BC" w14:textId="7C9DE817" w:rsidR="006A49C4" w:rsidRPr="00D13019" w:rsidRDefault="00410D2F" w:rsidP="004C697C">
            <w:r>
              <w:t>Annonce des résultats aux ONG</w:t>
            </w:r>
          </w:p>
        </w:tc>
        <w:tc>
          <w:tcPr>
            <w:tcW w:w="4529" w:type="dxa"/>
          </w:tcPr>
          <w:p w14:paraId="07391BFC" w14:textId="269EA60E" w:rsidR="006A49C4" w:rsidRDefault="00410D2F">
            <w:r>
              <w:t>Août </w:t>
            </w:r>
            <w:r w:rsidR="00145BA9">
              <w:t>2021</w:t>
            </w:r>
          </w:p>
        </w:tc>
      </w:tr>
      <w:tr w:rsidR="005D6BD8" w:rsidRPr="00D13019" w14:paraId="1E209981" w14:textId="77777777" w:rsidTr="004C697C">
        <w:tc>
          <w:tcPr>
            <w:tcW w:w="4533" w:type="dxa"/>
          </w:tcPr>
          <w:p w14:paraId="35C62934" w14:textId="77777777" w:rsidR="005D6BD8" w:rsidRPr="00D13019" w:rsidRDefault="005D6BD8" w:rsidP="004C697C">
            <w:r w:rsidRPr="00D13019">
              <w:t>Réception des dossiers - instruction et octroi</w:t>
            </w:r>
          </w:p>
        </w:tc>
        <w:tc>
          <w:tcPr>
            <w:tcW w:w="4529" w:type="dxa"/>
          </w:tcPr>
          <w:p w14:paraId="0E278B88" w14:textId="6EEAA120" w:rsidR="005D6BD8" w:rsidRPr="00D13019" w:rsidRDefault="00145BA9">
            <w:r>
              <w:t>Septembre-novembre</w:t>
            </w:r>
            <w:r w:rsidR="00CB0FE9">
              <w:t xml:space="preserve"> </w:t>
            </w:r>
            <w:r w:rsidR="006143C9">
              <w:t>2021</w:t>
            </w:r>
          </w:p>
        </w:tc>
      </w:tr>
      <w:tr w:rsidR="005D6BD8" w:rsidRPr="00D13019" w14:paraId="52FA2E39" w14:textId="77777777" w:rsidTr="004C697C">
        <w:tc>
          <w:tcPr>
            <w:tcW w:w="4533" w:type="dxa"/>
          </w:tcPr>
          <w:p w14:paraId="63ADAD12" w14:textId="77777777" w:rsidR="005D6BD8" w:rsidRPr="00D13019" w:rsidRDefault="005D6BD8" w:rsidP="004C697C">
            <w:r w:rsidRPr="00D13019">
              <w:t>Démarrage des projets</w:t>
            </w:r>
          </w:p>
        </w:tc>
        <w:tc>
          <w:tcPr>
            <w:tcW w:w="4529" w:type="dxa"/>
          </w:tcPr>
          <w:p w14:paraId="18D5891F" w14:textId="77777777" w:rsidR="005D6BD8" w:rsidRPr="00D13019" w:rsidRDefault="00CB0FE9" w:rsidP="004C697C">
            <w:r>
              <w:t>1</w:t>
            </w:r>
            <w:r w:rsidRPr="00CB0FE9">
              <w:rPr>
                <w:vertAlign w:val="superscript"/>
              </w:rPr>
              <w:t>er</w:t>
            </w:r>
            <w:r>
              <w:t xml:space="preserve"> trimestre 2022</w:t>
            </w:r>
          </w:p>
        </w:tc>
      </w:tr>
    </w:tbl>
    <w:p w14:paraId="10A764E7" w14:textId="3820E3C4" w:rsidR="00566820" w:rsidRDefault="00566820" w:rsidP="00102205">
      <w:pPr>
        <w:spacing w:line="276" w:lineRule="auto"/>
        <w:jc w:val="both"/>
      </w:pPr>
    </w:p>
    <w:p w14:paraId="271A544D" w14:textId="424357B7" w:rsidR="00102205" w:rsidRPr="00102205" w:rsidRDefault="00566820" w:rsidP="00566820">
      <w:r>
        <w:br w:type="page"/>
      </w:r>
    </w:p>
    <w:p w14:paraId="00D6B62F" w14:textId="3F1072B7" w:rsidR="00171430" w:rsidRPr="001813EF" w:rsidRDefault="00296613" w:rsidP="00BF6A65">
      <w:pPr>
        <w:pStyle w:val="Grandtitre"/>
        <w:numPr>
          <w:ilvl w:val="0"/>
          <w:numId w:val="7"/>
        </w:numPr>
      </w:pPr>
      <w:bookmarkStart w:id="155" w:name="_Toc59094205"/>
      <w:bookmarkStart w:id="156" w:name="_Toc59094262"/>
      <w:bookmarkStart w:id="157" w:name="_Toc60939100"/>
      <w:r w:rsidRPr="001813EF">
        <w:lastRenderedPageBreak/>
        <w:t>Références</w:t>
      </w:r>
      <w:bookmarkEnd w:id="155"/>
      <w:bookmarkEnd w:id="156"/>
      <w:bookmarkEnd w:id="157"/>
    </w:p>
    <w:p w14:paraId="2A08CB00" w14:textId="77777777" w:rsidR="00296613" w:rsidRPr="007C06D4" w:rsidRDefault="00296613" w:rsidP="00296613">
      <w:pPr>
        <w:pStyle w:val="Bibliographie"/>
        <w:rPr>
          <w:rFonts w:ascii="Calibri" w:hAnsi="Calibri" w:cs="Calibri"/>
          <w:lang w:val="en-GB"/>
        </w:rPr>
      </w:pPr>
      <w:r>
        <w:fldChar w:fldCharType="begin"/>
      </w:r>
      <w:r>
        <w:instrText xml:space="preserve"> ADDIN ZOTERO_BIBL {"uncited":[],"omitted":[],"custom":[]} CSL_BIBLIOGRAPHY </w:instrText>
      </w:r>
      <w:r>
        <w:fldChar w:fldCharType="separate"/>
      </w:r>
      <w:r w:rsidRPr="00296613">
        <w:rPr>
          <w:rFonts w:ascii="Calibri" w:hAnsi="Calibri" w:cs="Calibri"/>
        </w:rPr>
        <w:t xml:space="preserve">Bohren, M. A., Joshua P. Vogel, Bukola Fawole, Ernest T. Maya, Thae Maung Maung, Mamadou Diouldé Baldé, Agnes A. Oyeniran, et al. </w:t>
      </w:r>
      <w:r w:rsidRPr="007C06D4">
        <w:rPr>
          <w:rFonts w:ascii="Calibri" w:hAnsi="Calibri" w:cs="Calibri"/>
          <w:lang w:val="en-GB"/>
        </w:rPr>
        <w:t xml:space="preserve">« Methodological development of tools to measure how women are treated during facility-based childbirth in four countries: labor observation and community survey ». </w:t>
      </w:r>
      <w:r w:rsidRPr="007C06D4">
        <w:rPr>
          <w:rFonts w:ascii="Calibri" w:hAnsi="Calibri" w:cs="Calibri"/>
          <w:i/>
          <w:iCs/>
          <w:lang w:val="en-GB"/>
        </w:rPr>
        <w:t>BMC Medical Research Methodology</w:t>
      </w:r>
      <w:r w:rsidRPr="007C06D4">
        <w:rPr>
          <w:rFonts w:ascii="Calibri" w:hAnsi="Calibri" w:cs="Calibri"/>
          <w:lang w:val="en-GB"/>
        </w:rPr>
        <w:t xml:space="preserve"> 18, n</w:t>
      </w:r>
      <w:r w:rsidRPr="007C06D4">
        <w:rPr>
          <w:rFonts w:ascii="Calibri" w:hAnsi="Calibri" w:cs="Calibri"/>
          <w:vertAlign w:val="superscript"/>
          <w:lang w:val="en-GB"/>
        </w:rPr>
        <w:t>o</w:t>
      </w:r>
      <w:r w:rsidRPr="007C06D4">
        <w:rPr>
          <w:rFonts w:ascii="Calibri" w:hAnsi="Calibri" w:cs="Calibri"/>
          <w:lang w:val="en-GB"/>
        </w:rPr>
        <w:t xml:space="preserve"> 1 (15 novembre 2018): 132. https://doi.org/10.1186/s12874-018-0603-x.</w:t>
      </w:r>
    </w:p>
    <w:p w14:paraId="2E607B18" w14:textId="77777777" w:rsidR="00296613" w:rsidRPr="007C06D4" w:rsidRDefault="00296613" w:rsidP="00296613">
      <w:pPr>
        <w:pStyle w:val="Bibliographie"/>
        <w:rPr>
          <w:rFonts w:ascii="Calibri" w:hAnsi="Calibri" w:cs="Calibri"/>
          <w:lang w:val="en-GB"/>
        </w:rPr>
      </w:pPr>
      <w:r w:rsidRPr="007C06D4">
        <w:rPr>
          <w:rFonts w:ascii="Calibri" w:hAnsi="Calibri" w:cs="Calibri"/>
          <w:lang w:val="en-GB"/>
        </w:rPr>
        <w:t xml:space="preserve">Bohren, Meghan A., Erin C. Hunter, Heather M. Munthe-Kaas, João Paulo Souza, Joshua P. Vogel, et A. Metin Gülmezoglu. « Facilitators and Barriers to Facility-Based Delivery in Low- and Middle-Income Countries: A Qualitative Evidence Synthesis ». </w:t>
      </w:r>
      <w:r w:rsidRPr="007C06D4">
        <w:rPr>
          <w:rFonts w:ascii="Calibri" w:hAnsi="Calibri" w:cs="Calibri"/>
          <w:i/>
          <w:iCs/>
          <w:lang w:val="en-GB"/>
        </w:rPr>
        <w:t>Reproductive Health</w:t>
      </w:r>
      <w:r w:rsidRPr="007C06D4">
        <w:rPr>
          <w:rFonts w:ascii="Calibri" w:hAnsi="Calibri" w:cs="Calibri"/>
          <w:lang w:val="en-GB"/>
        </w:rPr>
        <w:t xml:space="preserve"> 11, n</w:t>
      </w:r>
      <w:r w:rsidRPr="007C06D4">
        <w:rPr>
          <w:rFonts w:ascii="Calibri" w:hAnsi="Calibri" w:cs="Calibri"/>
          <w:vertAlign w:val="superscript"/>
          <w:lang w:val="en-GB"/>
        </w:rPr>
        <w:t>o</w:t>
      </w:r>
      <w:r w:rsidRPr="007C06D4">
        <w:rPr>
          <w:rFonts w:ascii="Calibri" w:hAnsi="Calibri" w:cs="Calibri"/>
          <w:lang w:val="en-GB"/>
        </w:rPr>
        <w:t xml:space="preserve"> 1 (19 septembre 2014): 71. https://doi.org/10.1186/1742-4755-11-71.</w:t>
      </w:r>
    </w:p>
    <w:p w14:paraId="465F151F" w14:textId="77777777" w:rsidR="00296613" w:rsidRPr="007C06D4" w:rsidRDefault="00296613" w:rsidP="00296613">
      <w:pPr>
        <w:pStyle w:val="Bibliographie"/>
        <w:rPr>
          <w:rFonts w:ascii="Calibri" w:hAnsi="Calibri" w:cs="Calibri"/>
          <w:lang w:val="en-GB"/>
        </w:rPr>
      </w:pPr>
      <w:r w:rsidRPr="007C06D4">
        <w:rPr>
          <w:rFonts w:ascii="Calibri" w:hAnsi="Calibri" w:cs="Calibri"/>
          <w:lang w:val="en-GB"/>
        </w:rPr>
        <w:t>Bowser, Diana, et Kathleen Hill. « Exploring Evidence for Disrespect and Abuse in Facility-Based Childbirth ». Report of a Landscape Analysis. Harvard School of Public Health, 2010.</w:t>
      </w:r>
    </w:p>
    <w:p w14:paraId="48BA1217" w14:textId="77777777" w:rsidR="00296613" w:rsidRPr="007C06D4" w:rsidRDefault="00296613" w:rsidP="00296613">
      <w:pPr>
        <w:pStyle w:val="Bibliographie"/>
        <w:rPr>
          <w:rFonts w:ascii="Calibri" w:hAnsi="Calibri" w:cs="Calibri"/>
          <w:lang w:val="en-GB"/>
        </w:rPr>
      </w:pPr>
      <w:r w:rsidRPr="007C06D4">
        <w:rPr>
          <w:rFonts w:ascii="Calibri" w:hAnsi="Calibri" w:cs="Calibri"/>
          <w:lang w:val="en-GB"/>
        </w:rPr>
        <w:t xml:space="preserve">Davis, Dána-Ain. « Obstetric racism: the racial politics of pregnancy, labor, and birthing ». </w:t>
      </w:r>
      <w:r w:rsidRPr="007C06D4">
        <w:rPr>
          <w:rFonts w:ascii="Calibri" w:hAnsi="Calibri" w:cs="Calibri"/>
          <w:i/>
          <w:iCs/>
          <w:lang w:val="en-GB"/>
        </w:rPr>
        <w:t>Medical anthropology</w:t>
      </w:r>
      <w:r w:rsidRPr="007C06D4">
        <w:rPr>
          <w:rFonts w:ascii="Calibri" w:hAnsi="Calibri" w:cs="Calibri"/>
          <w:lang w:val="en-GB"/>
        </w:rPr>
        <w:t xml:space="preserve"> 38, n</w:t>
      </w:r>
      <w:r w:rsidRPr="007C06D4">
        <w:rPr>
          <w:rFonts w:ascii="Calibri" w:hAnsi="Calibri" w:cs="Calibri"/>
          <w:vertAlign w:val="superscript"/>
          <w:lang w:val="en-GB"/>
        </w:rPr>
        <w:t>o</w:t>
      </w:r>
      <w:r w:rsidRPr="007C06D4">
        <w:rPr>
          <w:rFonts w:ascii="Calibri" w:hAnsi="Calibri" w:cs="Calibri"/>
          <w:lang w:val="en-GB"/>
        </w:rPr>
        <w:t xml:space="preserve"> 7 (2019): 560–573.</w:t>
      </w:r>
    </w:p>
    <w:p w14:paraId="2554CF4E" w14:textId="77777777" w:rsidR="00296613" w:rsidRPr="00296613" w:rsidRDefault="00296613" w:rsidP="00296613">
      <w:pPr>
        <w:pStyle w:val="Bibliographie"/>
        <w:rPr>
          <w:rFonts w:ascii="Calibri" w:hAnsi="Calibri" w:cs="Calibri"/>
        </w:rPr>
      </w:pPr>
      <w:r w:rsidRPr="007C06D4">
        <w:rPr>
          <w:rFonts w:ascii="Calibri" w:hAnsi="Calibri" w:cs="Calibri"/>
          <w:lang w:val="en-GB"/>
        </w:rPr>
        <w:t xml:space="preserve">Diniz, Simone G., et Alessandra S. Chacham. « “The cut above” and “the cut below”: the abuse of caesareans and episiotomy in São Paulo, Brazil ». </w:t>
      </w:r>
      <w:r w:rsidRPr="00296613">
        <w:rPr>
          <w:rFonts w:ascii="Calibri" w:hAnsi="Calibri" w:cs="Calibri"/>
          <w:i/>
          <w:iCs/>
        </w:rPr>
        <w:t>Reproductive Health Matters</w:t>
      </w:r>
      <w:r w:rsidRPr="00296613">
        <w:rPr>
          <w:rFonts w:ascii="Calibri" w:hAnsi="Calibri" w:cs="Calibri"/>
        </w:rPr>
        <w:t xml:space="preserve"> 12, n</w:t>
      </w:r>
      <w:r w:rsidRPr="00296613">
        <w:rPr>
          <w:rFonts w:ascii="Calibri" w:hAnsi="Calibri" w:cs="Calibri"/>
          <w:vertAlign w:val="superscript"/>
        </w:rPr>
        <w:t>o</w:t>
      </w:r>
      <w:r w:rsidRPr="00296613">
        <w:rPr>
          <w:rFonts w:ascii="Calibri" w:hAnsi="Calibri" w:cs="Calibri"/>
        </w:rPr>
        <w:t xml:space="preserve"> 23 (2004): 100–110.</w:t>
      </w:r>
    </w:p>
    <w:p w14:paraId="41A199BC" w14:textId="77777777" w:rsidR="00296613" w:rsidRPr="007C06D4" w:rsidRDefault="00296613" w:rsidP="00296613">
      <w:pPr>
        <w:pStyle w:val="Bibliographie"/>
        <w:rPr>
          <w:rFonts w:ascii="Calibri" w:hAnsi="Calibri" w:cs="Calibri"/>
          <w:lang w:val="en-GB"/>
        </w:rPr>
      </w:pPr>
      <w:r w:rsidRPr="00296613">
        <w:rPr>
          <w:rFonts w:ascii="Calibri" w:hAnsi="Calibri" w:cs="Calibri"/>
        </w:rPr>
        <w:t xml:space="preserve">Dubravka Šimonović. « Adoption d’une démarche fondée sur les droits de la personne dans la lutte contre les mauvais traitements et les violences infligés aux femmes dans les services de santé procréative, en particulier les violences commises pendant l’accouchement et les violences obstétricales ». </w:t>
      </w:r>
      <w:r w:rsidRPr="007C06D4">
        <w:rPr>
          <w:rFonts w:ascii="Calibri" w:hAnsi="Calibri" w:cs="Calibri"/>
          <w:lang w:val="en-GB"/>
        </w:rPr>
        <w:t>Nations Unies, 11 juillet 2019.</w:t>
      </w:r>
    </w:p>
    <w:p w14:paraId="6F939630" w14:textId="77777777" w:rsidR="00296613" w:rsidRPr="00296613" w:rsidRDefault="00296613" w:rsidP="00296613">
      <w:pPr>
        <w:pStyle w:val="Bibliographie"/>
        <w:rPr>
          <w:rFonts w:ascii="Calibri" w:hAnsi="Calibri" w:cs="Calibri"/>
        </w:rPr>
      </w:pPr>
      <w:r w:rsidRPr="007C06D4">
        <w:rPr>
          <w:rFonts w:ascii="Calibri" w:hAnsi="Calibri" w:cs="Calibri"/>
          <w:lang w:val="en-GB"/>
        </w:rPr>
        <w:t xml:space="preserve">Ehrenreich, Barbara, et English Deirdre. </w:t>
      </w:r>
      <w:r w:rsidRPr="007C06D4">
        <w:rPr>
          <w:rFonts w:ascii="Calibri" w:hAnsi="Calibri" w:cs="Calibri"/>
          <w:i/>
          <w:iCs/>
          <w:lang w:val="en-GB"/>
        </w:rPr>
        <w:t>Witches, Midwives, and Nurses: A History of Women Healers</w:t>
      </w:r>
      <w:r w:rsidRPr="007C06D4">
        <w:rPr>
          <w:rFonts w:ascii="Calibri" w:hAnsi="Calibri" w:cs="Calibri"/>
          <w:lang w:val="en-GB"/>
        </w:rPr>
        <w:t xml:space="preserve">. </w:t>
      </w:r>
      <w:r w:rsidRPr="00296613">
        <w:rPr>
          <w:rFonts w:ascii="Calibri" w:hAnsi="Calibri" w:cs="Calibri"/>
        </w:rPr>
        <w:t>Feminist Press., 1973.</w:t>
      </w:r>
    </w:p>
    <w:p w14:paraId="0BF5A7ED" w14:textId="77777777" w:rsidR="00296613" w:rsidRPr="00732F98" w:rsidRDefault="00296613" w:rsidP="00296613">
      <w:pPr>
        <w:pStyle w:val="Bibliographie"/>
        <w:rPr>
          <w:rFonts w:ascii="Calibri" w:hAnsi="Calibri" w:cs="Calibri"/>
          <w:lang w:val="en-US"/>
        </w:rPr>
      </w:pPr>
      <w:r w:rsidRPr="00296613">
        <w:rPr>
          <w:rFonts w:ascii="Calibri" w:hAnsi="Calibri" w:cs="Calibri"/>
        </w:rPr>
        <w:t xml:space="preserve">El Kotni, Mounia. « La place du consentement dans les expériences de violences obstétricales au Mexique ». </w:t>
      </w:r>
      <w:r w:rsidRPr="00BF3E16">
        <w:rPr>
          <w:rFonts w:ascii="Calibri" w:hAnsi="Calibri" w:cs="Calibri"/>
          <w:i/>
          <w:iCs/>
          <w:lang w:val="en-US"/>
        </w:rPr>
        <w:t>Autrepart</w:t>
      </w:r>
      <w:r w:rsidRPr="00BF3E16">
        <w:rPr>
          <w:rFonts w:ascii="Calibri" w:hAnsi="Calibri" w:cs="Calibri"/>
          <w:lang w:val="en-US"/>
        </w:rPr>
        <w:t xml:space="preserve"> N°85, n</w:t>
      </w:r>
      <w:r w:rsidRPr="00BF3E16">
        <w:rPr>
          <w:rFonts w:ascii="Calibri" w:hAnsi="Calibri" w:cs="Calibri"/>
          <w:vertAlign w:val="superscript"/>
          <w:lang w:val="en-US"/>
        </w:rPr>
        <w:t>o</w:t>
      </w:r>
      <w:r w:rsidRPr="00BF3E16">
        <w:rPr>
          <w:rFonts w:ascii="Calibri" w:hAnsi="Calibri" w:cs="Calibri"/>
          <w:lang w:val="en-US"/>
        </w:rPr>
        <w:t xml:space="preserve"> 1 (2018): 39. https://doi.org/10.3917/autr.085.0039.</w:t>
      </w:r>
    </w:p>
    <w:p w14:paraId="6A37E591" w14:textId="77777777" w:rsidR="00296613" w:rsidRPr="00AE0FFF" w:rsidRDefault="00296613" w:rsidP="00296613">
      <w:pPr>
        <w:pStyle w:val="Bibliographie"/>
        <w:rPr>
          <w:rFonts w:ascii="Calibri" w:hAnsi="Calibri" w:cs="Calibri"/>
          <w:lang w:val="es-ES"/>
        </w:rPr>
      </w:pPr>
      <w:r w:rsidRPr="001051DC">
        <w:rPr>
          <w:rFonts w:ascii="Calibri" w:hAnsi="Calibri" w:cs="Calibri"/>
          <w:lang w:val="en-US"/>
        </w:rPr>
        <w:t xml:space="preserve">Faye, Adama, Mariama Niane, et Ibrahim Ba. </w:t>
      </w:r>
      <w:r w:rsidRPr="007C06D4">
        <w:rPr>
          <w:rFonts w:ascii="Calibri" w:hAnsi="Calibri" w:cs="Calibri"/>
          <w:lang w:val="en-GB"/>
        </w:rPr>
        <w:t xml:space="preserve">« Home Birth in Women Who Have given Birth at Least Once in a Health Facility: Contributory Factors in a Developing Country ». </w:t>
      </w:r>
      <w:r w:rsidRPr="00AE0FFF">
        <w:rPr>
          <w:rFonts w:ascii="Calibri" w:hAnsi="Calibri" w:cs="Calibri"/>
          <w:i/>
          <w:iCs/>
          <w:lang w:val="es-ES"/>
        </w:rPr>
        <w:t>Acta Obstetricia et Gynecologica Scandinavica</w:t>
      </w:r>
      <w:r w:rsidRPr="00AE0FFF">
        <w:rPr>
          <w:rFonts w:ascii="Calibri" w:hAnsi="Calibri" w:cs="Calibri"/>
          <w:lang w:val="es-ES"/>
        </w:rPr>
        <w:t xml:space="preserve"> 90, n</w:t>
      </w:r>
      <w:r w:rsidRPr="00AE0FFF">
        <w:rPr>
          <w:rFonts w:ascii="Calibri" w:hAnsi="Calibri" w:cs="Calibri"/>
          <w:vertAlign w:val="superscript"/>
          <w:lang w:val="es-ES"/>
        </w:rPr>
        <w:t>o</w:t>
      </w:r>
      <w:r w:rsidRPr="00AE0FFF">
        <w:rPr>
          <w:rFonts w:ascii="Calibri" w:hAnsi="Calibri" w:cs="Calibri"/>
          <w:lang w:val="es-ES"/>
        </w:rPr>
        <w:t xml:space="preserve"> 11 (2011): 1239‑43. https://doi.org/10.1111/j.1600-0412.2011.01163.x.</w:t>
      </w:r>
    </w:p>
    <w:p w14:paraId="7D6EEDE6" w14:textId="77777777" w:rsidR="00296613" w:rsidRPr="007C06D4" w:rsidRDefault="00296613" w:rsidP="00296613">
      <w:pPr>
        <w:pStyle w:val="Bibliographie"/>
        <w:rPr>
          <w:rFonts w:ascii="Calibri" w:hAnsi="Calibri" w:cs="Calibri"/>
          <w:lang w:val="en-GB"/>
        </w:rPr>
      </w:pPr>
      <w:r w:rsidRPr="00AE0FFF">
        <w:rPr>
          <w:rFonts w:ascii="Calibri" w:hAnsi="Calibri" w:cs="Calibri"/>
          <w:lang w:val="es-ES"/>
        </w:rPr>
        <w:t xml:space="preserve">Freedman, Lynn P, Kate Ramsey, Timothy Abuya, Ben Bellows, Charity Ndwiga, Charlotte E Warren, Stephanie Kujawski, Wema Moyo, Margaret E Kruk, et Godfrey Mbaruku. </w:t>
      </w:r>
      <w:r w:rsidRPr="007C06D4">
        <w:rPr>
          <w:rFonts w:ascii="Calibri" w:hAnsi="Calibri" w:cs="Calibri"/>
          <w:lang w:val="en-GB"/>
        </w:rPr>
        <w:t xml:space="preserve">« Defining Disrespect and Abuse of Women in Childbirth: A Research, Policy and Rights Agenda ». </w:t>
      </w:r>
      <w:r w:rsidRPr="007C06D4">
        <w:rPr>
          <w:rFonts w:ascii="Calibri" w:hAnsi="Calibri" w:cs="Calibri"/>
          <w:i/>
          <w:iCs/>
          <w:lang w:val="en-GB"/>
        </w:rPr>
        <w:t>Bulletin of the World Health Organization</w:t>
      </w:r>
      <w:r w:rsidRPr="007C06D4">
        <w:rPr>
          <w:rFonts w:ascii="Calibri" w:hAnsi="Calibri" w:cs="Calibri"/>
          <w:lang w:val="en-GB"/>
        </w:rPr>
        <w:t xml:space="preserve"> 92, n</w:t>
      </w:r>
      <w:r w:rsidRPr="007C06D4">
        <w:rPr>
          <w:rFonts w:ascii="Calibri" w:hAnsi="Calibri" w:cs="Calibri"/>
          <w:vertAlign w:val="superscript"/>
          <w:lang w:val="en-GB"/>
        </w:rPr>
        <w:t>o</w:t>
      </w:r>
      <w:r w:rsidRPr="007C06D4">
        <w:rPr>
          <w:rFonts w:ascii="Calibri" w:hAnsi="Calibri" w:cs="Calibri"/>
          <w:lang w:val="en-GB"/>
        </w:rPr>
        <w:t xml:space="preserve"> 12 (1 décembre 2014): 915‑17. https://doi.org/10.2471/BLT.14.137869.</w:t>
      </w:r>
    </w:p>
    <w:p w14:paraId="23A984EC" w14:textId="77777777" w:rsidR="00296613" w:rsidRPr="00296613" w:rsidRDefault="00296613" w:rsidP="00296613">
      <w:pPr>
        <w:pStyle w:val="Bibliographie"/>
        <w:rPr>
          <w:rFonts w:ascii="Calibri" w:hAnsi="Calibri" w:cs="Calibri"/>
        </w:rPr>
      </w:pPr>
      <w:r w:rsidRPr="00296613">
        <w:rPr>
          <w:rFonts w:ascii="Calibri" w:hAnsi="Calibri" w:cs="Calibri"/>
        </w:rPr>
        <w:t>HCE. « Les actes sexistes durant le suivi gynécologique et obstétrical. Des remarques aux violences, la nécessité de reconnaitre, prévenir et condamner le sexisme ». Paris, France, 26 juin 2018.</w:t>
      </w:r>
    </w:p>
    <w:p w14:paraId="395D08A8" w14:textId="77777777" w:rsidR="00296613" w:rsidRPr="00296613" w:rsidRDefault="00296613" w:rsidP="00296613">
      <w:pPr>
        <w:pStyle w:val="Bibliographie"/>
        <w:rPr>
          <w:rFonts w:ascii="Calibri" w:hAnsi="Calibri" w:cs="Calibri"/>
        </w:rPr>
      </w:pPr>
      <w:r w:rsidRPr="00296613">
        <w:rPr>
          <w:rFonts w:ascii="Calibri" w:hAnsi="Calibri" w:cs="Calibri"/>
        </w:rPr>
        <w:t xml:space="preserve">Jaffré, Yannick. « Ce que les sages-femmes disent de leurs vies, de leur métier et de leurs pratiques de soin ». </w:t>
      </w:r>
      <w:r w:rsidRPr="00296613">
        <w:rPr>
          <w:rFonts w:ascii="Calibri" w:hAnsi="Calibri" w:cs="Calibri"/>
          <w:i/>
          <w:iCs/>
        </w:rPr>
        <w:t>Santé Publique</w:t>
      </w:r>
      <w:r w:rsidRPr="00296613">
        <w:rPr>
          <w:rFonts w:ascii="Calibri" w:hAnsi="Calibri" w:cs="Calibri"/>
        </w:rPr>
        <w:t xml:space="preserve"> S1, n</w:t>
      </w:r>
      <w:r w:rsidRPr="00296613">
        <w:rPr>
          <w:rFonts w:ascii="Calibri" w:hAnsi="Calibri" w:cs="Calibri"/>
          <w:vertAlign w:val="superscript"/>
        </w:rPr>
        <w:t>o</w:t>
      </w:r>
      <w:r w:rsidRPr="00296613">
        <w:rPr>
          <w:rFonts w:ascii="Calibri" w:hAnsi="Calibri" w:cs="Calibri"/>
        </w:rPr>
        <w:t xml:space="preserve"> HS (30 juillet 2018): 151‑66. https://doi.org/10.3917/spub.180.0151.</w:t>
      </w:r>
    </w:p>
    <w:p w14:paraId="4121F457" w14:textId="77777777" w:rsidR="00296613" w:rsidRPr="00296613" w:rsidRDefault="00296613" w:rsidP="00296613">
      <w:pPr>
        <w:pStyle w:val="Bibliographie"/>
        <w:rPr>
          <w:rFonts w:ascii="Calibri" w:hAnsi="Calibri" w:cs="Calibri"/>
        </w:rPr>
      </w:pPr>
      <w:r w:rsidRPr="00296613">
        <w:rPr>
          <w:rFonts w:ascii="Calibri" w:hAnsi="Calibri" w:cs="Calibri"/>
        </w:rPr>
        <w:t xml:space="preserve">Jaffré, Yannick, et Jean-Pierre Olivier de Sardan. </w:t>
      </w:r>
      <w:r w:rsidRPr="00296613">
        <w:rPr>
          <w:rFonts w:ascii="Calibri" w:hAnsi="Calibri" w:cs="Calibri"/>
          <w:i/>
          <w:iCs/>
        </w:rPr>
        <w:t>Une médecine inhospitalière: les difficiles relations entre soignants et soignés dans les cinq capitales d’Afrique de l’Ouest</w:t>
      </w:r>
      <w:r w:rsidRPr="00296613">
        <w:rPr>
          <w:rFonts w:ascii="Calibri" w:hAnsi="Calibri" w:cs="Calibri"/>
        </w:rPr>
        <w:t>. Paris; Marseille: Karthala ; APAD, 2003.</w:t>
      </w:r>
    </w:p>
    <w:p w14:paraId="4EA7893E" w14:textId="77777777" w:rsidR="00296613" w:rsidRPr="00296613" w:rsidRDefault="00296613" w:rsidP="00296613">
      <w:pPr>
        <w:pStyle w:val="Bibliographie"/>
        <w:rPr>
          <w:rFonts w:ascii="Calibri" w:hAnsi="Calibri" w:cs="Calibri"/>
        </w:rPr>
      </w:pPr>
      <w:r w:rsidRPr="00296613">
        <w:rPr>
          <w:rFonts w:ascii="Calibri" w:hAnsi="Calibri" w:cs="Calibri"/>
        </w:rPr>
        <w:t xml:space="preserve">Jaffré, Yannick, et Alain Prual. « « Le corps des sages-femmes », entre identités professionnelle et sociale ». </w:t>
      </w:r>
      <w:r w:rsidRPr="00296613">
        <w:rPr>
          <w:rFonts w:ascii="Calibri" w:hAnsi="Calibri" w:cs="Calibri"/>
          <w:i/>
          <w:iCs/>
        </w:rPr>
        <w:t>Sciences sociales et santé</w:t>
      </w:r>
      <w:r w:rsidRPr="00296613">
        <w:rPr>
          <w:rFonts w:ascii="Calibri" w:hAnsi="Calibri" w:cs="Calibri"/>
        </w:rPr>
        <w:t xml:space="preserve"> 11, n</w:t>
      </w:r>
      <w:r w:rsidRPr="00296613">
        <w:rPr>
          <w:rFonts w:ascii="Calibri" w:hAnsi="Calibri" w:cs="Calibri"/>
          <w:vertAlign w:val="superscript"/>
        </w:rPr>
        <w:t>o</w:t>
      </w:r>
      <w:r w:rsidRPr="00296613">
        <w:rPr>
          <w:rFonts w:ascii="Calibri" w:hAnsi="Calibri" w:cs="Calibri"/>
        </w:rPr>
        <w:t xml:space="preserve"> 2 (1993): 63‑80. https://doi.org/10.3406/sosan.1993.1265.</w:t>
      </w:r>
    </w:p>
    <w:p w14:paraId="0C48EEFC" w14:textId="77777777" w:rsidR="00296613" w:rsidRPr="00296613" w:rsidRDefault="00296613" w:rsidP="00296613">
      <w:pPr>
        <w:pStyle w:val="Bibliographie"/>
        <w:rPr>
          <w:rFonts w:ascii="Calibri" w:hAnsi="Calibri" w:cs="Calibri"/>
        </w:rPr>
      </w:pPr>
      <w:r w:rsidRPr="00296613">
        <w:rPr>
          <w:rFonts w:ascii="Calibri" w:hAnsi="Calibri" w:cs="Calibri"/>
        </w:rPr>
        <w:t>Jhpiego. « Les soins de maternité respectueux », 2017, 4.</w:t>
      </w:r>
    </w:p>
    <w:p w14:paraId="6504FCC1" w14:textId="77777777" w:rsidR="00296613" w:rsidRPr="00AE0FFF" w:rsidRDefault="00296613" w:rsidP="00296613">
      <w:pPr>
        <w:pStyle w:val="Bibliographie"/>
        <w:rPr>
          <w:rFonts w:ascii="Calibri" w:hAnsi="Calibri" w:cs="Calibri"/>
          <w:lang w:val="es-ES"/>
        </w:rPr>
      </w:pPr>
      <w:r w:rsidRPr="00296613">
        <w:rPr>
          <w:rFonts w:ascii="Calibri" w:hAnsi="Calibri" w:cs="Calibri"/>
        </w:rPr>
        <w:t xml:space="preserve">Nations Unies. « Objectifs du Millénaire pour le développement. </w:t>
      </w:r>
      <w:r w:rsidRPr="00AE0FFF">
        <w:rPr>
          <w:rFonts w:ascii="Calibri" w:hAnsi="Calibri" w:cs="Calibri"/>
          <w:lang w:val="es-ES"/>
        </w:rPr>
        <w:t>Rapport 2015 », 2015.</w:t>
      </w:r>
    </w:p>
    <w:p w14:paraId="0B6175B2" w14:textId="77777777" w:rsidR="00296613" w:rsidRPr="00296613" w:rsidRDefault="00296613" w:rsidP="00296613">
      <w:pPr>
        <w:pStyle w:val="Bibliographie"/>
        <w:rPr>
          <w:rFonts w:ascii="Calibri" w:hAnsi="Calibri" w:cs="Calibri"/>
        </w:rPr>
      </w:pPr>
      <w:r w:rsidRPr="00AE0FFF">
        <w:rPr>
          <w:rFonts w:ascii="Calibri" w:hAnsi="Calibri" w:cs="Calibri"/>
          <w:lang w:val="es-ES"/>
        </w:rPr>
        <w:t xml:space="preserve">Oliveira, Ana Flávia Pires Lucas d’, Simone Grilo Diniz, et Lilia Blima Schraiber. </w:t>
      </w:r>
      <w:r w:rsidRPr="007C06D4">
        <w:rPr>
          <w:rFonts w:ascii="Calibri" w:hAnsi="Calibri" w:cs="Calibri"/>
          <w:lang w:val="en-GB"/>
        </w:rPr>
        <w:t xml:space="preserve">« Violence against Women in Health-Care Institutions: An Emerging Problem ». </w:t>
      </w:r>
      <w:r w:rsidRPr="00296613">
        <w:rPr>
          <w:rFonts w:ascii="Calibri" w:hAnsi="Calibri" w:cs="Calibri"/>
          <w:i/>
          <w:iCs/>
        </w:rPr>
        <w:t>The Lancet</w:t>
      </w:r>
      <w:r w:rsidRPr="00296613">
        <w:rPr>
          <w:rFonts w:ascii="Calibri" w:hAnsi="Calibri" w:cs="Calibri"/>
        </w:rPr>
        <w:t xml:space="preserve"> 359, n</w:t>
      </w:r>
      <w:r w:rsidRPr="00296613">
        <w:rPr>
          <w:rFonts w:ascii="Calibri" w:hAnsi="Calibri" w:cs="Calibri"/>
          <w:vertAlign w:val="superscript"/>
        </w:rPr>
        <w:t>o</w:t>
      </w:r>
      <w:r w:rsidRPr="00296613">
        <w:rPr>
          <w:rFonts w:ascii="Calibri" w:hAnsi="Calibri" w:cs="Calibri"/>
        </w:rPr>
        <w:t xml:space="preserve"> 9318 (mai 2002): 1681‑85. https://doi.org/10.1016/S0140-6736(02)08592-6.</w:t>
      </w:r>
    </w:p>
    <w:p w14:paraId="34ECF1A0" w14:textId="77777777" w:rsidR="00296613" w:rsidRPr="007C06D4" w:rsidRDefault="00296613" w:rsidP="00296613">
      <w:pPr>
        <w:pStyle w:val="Bibliographie"/>
        <w:rPr>
          <w:rFonts w:ascii="Calibri" w:hAnsi="Calibri" w:cs="Calibri"/>
          <w:lang w:val="en-GB"/>
        </w:rPr>
      </w:pPr>
      <w:r w:rsidRPr="00296613">
        <w:rPr>
          <w:rFonts w:ascii="Calibri" w:hAnsi="Calibri" w:cs="Calibri"/>
        </w:rPr>
        <w:lastRenderedPageBreak/>
        <w:t xml:space="preserve">OMS. « La prévention et l’élimination du manque de respect et des mauvais traitements lors de l’accouchement dans des établissements de soins ». </w:t>
      </w:r>
      <w:r w:rsidRPr="007C06D4">
        <w:rPr>
          <w:rFonts w:ascii="Calibri" w:hAnsi="Calibri" w:cs="Calibri"/>
          <w:lang w:val="en-GB"/>
        </w:rPr>
        <w:t>Geneve: World Health Organization, 2014. https://www.who.int/reproductivehealth/topics/maternal_perinatal/statement-childbirth/fr/.</w:t>
      </w:r>
    </w:p>
    <w:p w14:paraId="00FE574D" w14:textId="77777777" w:rsidR="00296613" w:rsidRPr="007C06D4" w:rsidRDefault="00296613" w:rsidP="00296613">
      <w:pPr>
        <w:pStyle w:val="Bibliographie"/>
        <w:rPr>
          <w:rFonts w:ascii="Calibri" w:hAnsi="Calibri" w:cs="Calibri"/>
          <w:lang w:val="en-GB"/>
        </w:rPr>
      </w:pPr>
      <w:r w:rsidRPr="00296613">
        <w:rPr>
          <w:rFonts w:ascii="Calibri" w:hAnsi="Calibri" w:cs="Calibri"/>
        </w:rPr>
        <w:t xml:space="preserve">———. « Recommandations de l’OMS sur les soins intrapartum pour une expérience positive de l’accouchement ». </w:t>
      </w:r>
      <w:r w:rsidRPr="007C06D4">
        <w:rPr>
          <w:rFonts w:ascii="Calibri" w:hAnsi="Calibri" w:cs="Calibri"/>
          <w:lang w:val="en-GB"/>
        </w:rPr>
        <w:t>World Health Organization, 2018. http://www.who.int/reproductivehealth/publications/intrapartum-care-guidelines/fr/.</w:t>
      </w:r>
    </w:p>
    <w:p w14:paraId="3867E616" w14:textId="77777777" w:rsidR="00296613" w:rsidRPr="007C06D4" w:rsidRDefault="00296613" w:rsidP="00296613">
      <w:pPr>
        <w:pStyle w:val="Bibliographie"/>
        <w:rPr>
          <w:rFonts w:ascii="Calibri" w:hAnsi="Calibri" w:cs="Calibri"/>
          <w:lang w:val="en-GB"/>
        </w:rPr>
      </w:pPr>
      <w:r w:rsidRPr="00296613">
        <w:rPr>
          <w:rFonts w:ascii="Calibri" w:hAnsi="Calibri" w:cs="Calibri"/>
        </w:rPr>
        <w:t xml:space="preserve">———. « Standards pour l’amélioration de la qualité des soins maternels et néonatals dans les établissements de santé ». </w:t>
      </w:r>
      <w:r w:rsidRPr="007C06D4">
        <w:rPr>
          <w:rFonts w:ascii="Calibri" w:hAnsi="Calibri" w:cs="Calibri"/>
          <w:lang w:val="en-GB"/>
        </w:rPr>
        <w:t>Genève, 2017.</w:t>
      </w:r>
    </w:p>
    <w:p w14:paraId="04F2ADEB" w14:textId="77777777" w:rsidR="00296613" w:rsidRPr="00AE0FFF" w:rsidRDefault="00296613" w:rsidP="00296613">
      <w:pPr>
        <w:pStyle w:val="Bibliographie"/>
        <w:rPr>
          <w:rFonts w:ascii="Calibri" w:hAnsi="Calibri" w:cs="Calibri"/>
          <w:lang w:val="es-ES"/>
        </w:rPr>
      </w:pPr>
      <w:r w:rsidRPr="007C06D4">
        <w:rPr>
          <w:rFonts w:ascii="Calibri" w:hAnsi="Calibri" w:cs="Calibri"/>
          <w:lang w:val="en-GB"/>
        </w:rPr>
        <w:t xml:space="preserve">Quattrocchi, Patrizia. « Obstetric Violence Observatory: Contributions of Argentina to the International Debate ». </w:t>
      </w:r>
      <w:r w:rsidRPr="00AE0FFF">
        <w:rPr>
          <w:rFonts w:ascii="Calibri" w:hAnsi="Calibri" w:cs="Calibri"/>
          <w:i/>
          <w:iCs/>
          <w:lang w:val="es-ES"/>
        </w:rPr>
        <w:t>Medical Anthropology</w:t>
      </w:r>
      <w:r w:rsidRPr="00AE0FFF">
        <w:rPr>
          <w:rFonts w:ascii="Calibri" w:hAnsi="Calibri" w:cs="Calibri"/>
          <w:lang w:val="es-ES"/>
        </w:rPr>
        <w:t>, 9 mai 2019. https://www.tandfonline.com/doi/abs/10.1080/01459740.2019.1609471.</w:t>
      </w:r>
    </w:p>
    <w:p w14:paraId="6D06B9BB" w14:textId="77777777" w:rsidR="00296613" w:rsidRPr="00AE0FFF" w:rsidRDefault="00296613" w:rsidP="00296613">
      <w:pPr>
        <w:pStyle w:val="Bibliographie"/>
        <w:rPr>
          <w:rFonts w:ascii="Calibri" w:hAnsi="Calibri" w:cs="Calibri"/>
          <w:lang w:val="es-ES"/>
        </w:rPr>
      </w:pPr>
      <w:r w:rsidRPr="00AE0FFF">
        <w:rPr>
          <w:rFonts w:ascii="Calibri" w:hAnsi="Calibri" w:cs="Calibri"/>
          <w:lang w:val="es-ES"/>
        </w:rPr>
        <w:t>República Bolivariana de Venezuela. « Ley Orgánica sobre el derecho de las mujeres a una vida libre de violencia ». Caracas, Venezuela, 2007.</w:t>
      </w:r>
    </w:p>
    <w:p w14:paraId="36101EF7" w14:textId="77777777" w:rsidR="00296613" w:rsidRPr="007C06D4" w:rsidRDefault="00296613" w:rsidP="00296613">
      <w:pPr>
        <w:pStyle w:val="Bibliographie"/>
        <w:rPr>
          <w:rFonts w:ascii="Calibri" w:hAnsi="Calibri" w:cs="Calibri"/>
          <w:lang w:val="en-GB"/>
        </w:rPr>
      </w:pPr>
      <w:r w:rsidRPr="00AE0FFF">
        <w:rPr>
          <w:rFonts w:ascii="Calibri" w:hAnsi="Calibri" w:cs="Calibri"/>
          <w:lang w:val="es-ES"/>
        </w:rPr>
        <w:t xml:space="preserve">Sadler, Michelle, Mário JDS Santos, Dolores Ruiz-Berdún, Gonzalo Leiva Rojas, Elena Skoko, Patricia Gillen, et Jette A Clausen. </w:t>
      </w:r>
      <w:r w:rsidRPr="007C06D4">
        <w:rPr>
          <w:rFonts w:ascii="Calibri" w:hAnsi="Calibri" w:cs="Calibri"/>
          <w:lang w:val="en-GB"/>
        </w:rPr>
        <w:t xml:space="preserve">« Moving beyond Disrespect and Abuse: Addressing the Structural Dimensions of Obstetric Violence ». </w:t>
      </w:r>
      <w:r w:rsidRPr="007C06D4">
        <w:rPr>
          <w:rFonts w:ascii="Calibri" w:hAnsi="Calibri" w:cs="Calibri"/>
          <w:i/>
          <w:iCs/>
          <w:lang w:val="en-GB"/>
        </w:rPr>
        <w:t>Reproductive Health Matters</w:t>
      </w:r>
      <w:r w:rsidRPr="007C06D4">
        <w:rPr>
          <w:rFonts w:ascii="Calibri" w:hAnsi="Calibri" w:cs="Calibri"/>
          <w:lang w:val="en-GB"/>
        </w:rPr>
        <w:t xml:space="preserve"> 24, n</w:t>
      </w:r>
      <w:r w:rsidRPr="007C06D4">
        <w:rPr>
          <w:rFonts w:ascii="Calibri" w:hAnsi="Calibri" w:cs="Calibri"/>
          <w:vertAlign w:val="superscript"/>
          <w:lang w:val="en-GB"/>
        </w:rPr>
        <w:t>o</w:t>
      </w:r>
      <w:r w:rsidRPr="007C06D4">
        <w:rPr>
          <w:rFonts w:ascii="Calibri" w:hAnsi="Calibri" w:cs="Calibri"/>
          <w:lang w:val="en-GB"/>
        </w:rPr>
        <w:t xml:space="preserve"> 47 (mai 2016): 47‑55. https://doi.org/10.1016/j.rhm.2016.04.002.</w:t>
      </w:r>
    </w:p>
    <w:p w14:paraId="2380B017" w14:textId="77777777" w:rsidR="00296613" w:rsidRPr="007C06D4" w:rsidRDefault="00296613" w:rsidP="00296613">
      <w:pPr>
        <w:pStyle w:val="Bibliographie"/>
        <w:rPr>
          <w:rFonts w:ascii="Calibri" w:hAnsi="Calibri" w:cs="Calibri"/>
          <w:lang w:val="en-GB"/>
        </w:rPr>
      </w:pPr>
      <w:r w:rsidRPr="00296613">
        <w:rPr>
          <w:rFonts w:ascii="Calibri" w:hAnsi="Calibri" w:cs="Calibri"/>
        </w:rPr>
        <w:t xml:space="preserve">Schantz, Clémence, Moufalilou Aboubakar, Abou Bakary Traoré, Marion Ravit, Myriam de Loenzien, et Alexandre Dumont. </w:t>
      </w:r>
      <w:r w:rsidRPr="007C06D4">
        <w:rPr>
          <w:rFonts w:ascii="Calibri" w:hAnsi="Calibri" w:cs="Calibri"/>
          <w:lang w:val="en-GB"/>
        </w:rPr>
        <w:t xml:space="preserve">« Caesarean Section in Benin and Mali: Increased Recourse to Technology Due to Suffering and under-Resourced Facilities ». </w:t>
      </w:r>
      <w:r w:rsidRPr="007C06D4">
        <w:rPr>
          <w:rFonts w:ascii="Calibri" w:hAnsi="Calibri" w:cs="Calibri"/>
          <w:i/>
          <w:iCs/>
          <w:lang w:val="en-GB"/>
        </w:rPr>
        <w:t>Reproductive Biomedicine &amp; Society Online</w:t>
      </w:r>
      <w:r w:rsidRPr="007C06D4">
        <w:rPr>
          <w:rFonts w:ascii="Calibri" w:hAnsi="Calibri" w:cs="Calibri"/>
          <w:lang w:val="en-GB"/>
        </w:rPr>
        <w:t xml:space="preserve"> 10 (janvier 2020): 10‑18. https://doi.org/10.1016/j.rbms.2019.12.001.</w:t>
      </w:r>
    </w:p>
    <w:p w14:paraId="1AF02B57" w14:textId="77777777" w:rsidR="00296613" w:rsidRPr="007C06D4" w:rsidRDefault="00296613" w:rsidP="00296613">
      <w:pPr>
        <w:pStyle w:val="Bibliographie"/>
        <w:rPr>
          <w:rFonts w:ascii="Calibri" w:hAnsi="Calibri" w:cs="Calibri"/>
          <w:lang w:val="en-GB"/>
        </w:rPr>
      </w:pPr>
      <w:r w:rsidRPr="007C06D4">
        <w:rPr>
          <w:rFonts w:ascii="Calibri" w:hAnsi="Calibri" w:cs="Calibri"/>
          <w:lang w:val="en-GB"/>
        </w:rPr>
        <w:t xml:space="preserve">The Boston Women’s Health Book Collective. </w:t>
      </w:r>
      <w:r w:rsidRPr="007C06D4">
        <w:rPr>
          <w:rFonts w:ascii="Calibri" w:hAnsi="Calibri" w:cs="Calibri"/>
          <w:i/>
          <w:iCs/>
          <w:lang w:val="en-GB"/>
        </w:rPr>
        <w:t>Our bodies, ourselves: a new edition for a new area</w:t>
      </w:r>
      <w:r w:rsidRPr="007C06D4">
        <w:rPr>
          <w:rFonts w:ascii="Calibri" w:hAnsi="Calibri" w:cs="Calibri"/>
          <w:lang w:val="en-GB"/>
        </w:rPr>
        <w:t>, 1973.</w:t>
      </w:r>
    </w:p>
    <w:p w14:paraId="750DA454" w14:textId="1B08FAF5" w:rsidR="00296613" w:rsidRPr="007C06D4" w:rsidRDefault="00296613" w:rsidP="00E62E97">
      <w:pPr>
        <w:spacing w:line="276" w:lineRule="auto"/>
        <w:jc w:val="both"/>
        <w:rPr>
          <w:lang w:val="en-GB"/>
        </w:rPr>
      </w:pPr>
      <w:r>
        <w:fldChar w:fldCharType="end"/>
      </w:r>
    </w:p>
    <w:p w14:paraId="4817C865" w14:textId="77777777" w:rsidR="00E62E97" w:rsidRPr="007C06D4" w:rsidRDefault="00E62E97" w:rsidP="00E62E97">
      <w:pPr>
        <w:spacing w:line="276" w:lineRule="auto"/>
        <w:jc w:val="both"/>
        <w:rPr>
          <w:lang w:val="en-GB"/>
        </w:rPr>
      </w:pPr>
    </w:p>
    <w:p w14:paraId="536FA1AF" w14:textId="77777777" w:rsidR="00E62E97" w:rsidRPr="007C06D4" w:rsidRDefault="00E62E97" w:rsidP="00E62E97">
      <w:pPr>
        <w:spacing w:line="276" w:lineRule="auto"/>
        <w:jc w:val="both"/>
        <w:rPr>
          <w:lang w:val="en-GB"/>
        </w:rPr>
      </w:pPr>
    </w:p>
    <w:p w14:paraId="7C9A9774" w14:textId="77777777" w:rsidR="00E62E97" w:rsidRPr="007C06D4" w:rsidRDefault="00E62E97" w:rsidP="00E62E97">
      <w:pPr>
        <w:spacing w:line="276" w:lineRule="auto"/>
        <w:jc w:val="both"/>
        <w:rPr>
          <w:lang w:val="en-GB"/>
        </w:rPr>
      </w:pPr>
    </w:p>
    <w:p w14:paraId="51B13806" w14:textId="77777777" w:rsidR="00E62E97" w:rsidRPr="007C06D4" w:rsidRDefault="00E62E97" w:rsidP="00E62E97">
      <w:pPr>
        <w:spacing w:line="276" w:lineRule="auto"/>
        <w:jc w:val="both"/>
        <w:rPr>
          <w:lang w:val="en-GB"/>
        </w:rPr>
      </w:pPr>
    </w:p>
    <w:p w14:paraId="16BF13D3" w14:textId="77777777" w:rsidR="00E62E97" w:rsidRPr="007C06D4" w:rsidRDefault="00E62E97" w:rsidP="00E62E97">
      <w:pPr>
        <w:spacing w:line="276" w:lineRule="auto"/>
        <w:jc w:val="both"/>
        <w:rPr>
          <w:lang w:val="en-GB"/>
        </w:rPr>
      </w:pPr>
    </w:p>
    <w:p w14:paraId="3B6850BB" w14:textId="77777777" w:rsidR="00E62E97" w:rsidRPr="007C06D4" w:rsidRDefault="00E62E97" w:rsidP="00E62E97">
      <w:pPr>
        <w:spacing w:line="276" w:lineRule="auto"/>
        <w:jc w:val="both"/>
        <w:rPr>
          <w:lang w:val="en-GB"/>
        </w:rPr>
      </w:pPr>
    </w:p>
    <w:p w14:paraId="2BEDEFED" w14:textId="77777777" w:rsidR="00E62E97" w:rsidRPr="007C06D4" w:rsidRDefault="00E62E97" w:rsidP="00E62E97">
      <w:pPr>
        <w:spacing w:line="276" w:lineRule="auto"/>
        <w:jc w:val="both"/>
        <w:rPr>
          <w:lang w:val="en-GB"/>
        </w:rPr>
      </w:pPr>
    </w:p>
    <w:p w14:paraId="621A1057" w14:textId="77777777" w:rsidR="00E62E97" w:rsidRPr="007C06D4" w:rsidRDefault="00E62E97" w:rsidP="00E62E97">
      <w:pPr>
        <w:spacing w:line="276" w:lineRule="auto"/>
        <w:jc w:val="both"/>
        <w:rPr>
          <w:lang w:val="en-GB"/>
        </w:rPr>
      </w:pPr>
    </w:p>
    <w:p w14:paraId="1CF1D11E" w14:textId="77777777" w:rsidR="00E62E97" w:rsidRPr="007C06D4" w:rsidRDefault="00E62E97" w:rsidP="00E62E97">
      <w:pPr>
        <w:spacing w:line="276" w:lineRule="auto"/>
        <w:jc w:val="both"/>
        <w:rPr>
          <w:lang w:val="en-GB"/>
        </w:rPr>
      </w:pPr>
    </w:p>
    <w:p w14:paraId="03F03AE0" w14:textId="77777777" w:rsidR="00094F03" w:rsidRPr="007C06D4" w:rsidRDefault="00094F03" w:rsidP="0004283F">
      <w:pPr>
        <w:rPr>
          <w:lang w:val="en-GB"/>
        </w:rPr>
      </w:pPr>
      <w:r w:rsidRPr="007C06D4">
        <w:rPr>
          <w:lang w:val="en-GB"/>
        </w:rPr>
        <w:t xml:space="preserve"> </w:t>
      </w:r>
    </w:p>
    <w:sectPr w:rsidR="00094F03" w:rsidRPr="007C06D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D7F97" w16cex:dateUtc="2020-12-23T07:34:00Z"/>
  <w16cex:commentExtensible w16cex:durableId="238D83C4" w16cex:dateUtc="2020-12-23T07:52:00Z"/>
  <w16cex:commentExtensible w16cex:durableId="238D8810" w16cex:dateUtc="2020-12-23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E45F3C" w16cid:durableId="238D7F97"/>
  <w16cid:commentId w16cid:paraId="37C56A44" w16cid:durableId="238C84AC"/>
  <w16cid:commentId w16cid:paraId="1D58C5DA" w16cid:durableId="238C84AD"/>
  <w16cid:commentId w16cid:paraId="00B018E5" w16cid:durableId="238C84AE"/>
  <w16cid:commentId w16cid:paraId="0EA99B9F" w16cid:durableId="238C84AF"/>
  <w16cid:commentId w16cid:paraId="6A2AED23" w16cid:durableId="238C84B0"/>
  <w16cid:commentId w16cid:paraId="3E199288" w16cid:durableId="238D83C4"/>
  <w16cid:commentId w16cid:paraId="3D384FF7" w16cid:durableId="238D8810"/>
  <w16cid:commentId w16cid:paraId="0D613C34" w16cid:durableId="238C84B1"/>
  <w16cid:commentId w16cid:paraId="7A9D1F3B" w16cid:durableId="238C84B2"/>
  <w16cid:commentId w16cid:paraId="576F5BEA" w16cid:durableId="238602A9"/>
  <w16cid:commentId w16cid:paraId="6E3BFC7B" w16cid:durableId="238602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853A4" w14:textId="77777777" w:rsidR="009C6E9A" w:rsidRDefault="009C6E9A" w:rsidP="00934881">
      <w:pPr>
        <w:spacing w:after="0" w:line="240" w:lineRule="auto"/>
      </w:pPr>
      <w:r>
        <w:separator/>
      </w:r>
    </w:p>
  </w:endnote>
  <w:endnote w:type="continuationSeparator" w:id="0">
    <w:p w14:paraId="246BC7EE" w14:textId="77777777" w:rsidR="009C6E9A" w:rsidRDefault="009C6E9A" w:rsidP="0093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3D338" w14:textId="77777777" w:rsidR="009C6E9A" w:rsidRDefault="009C6E9A" w:rsidP="00934881">
      <w:pPr>
        <w:spacing w:after="0" w:line="240" w:lineRule="auto"/>
      </w:pPr>
      <w:r>
        <w:separator/>
      </w:r>
    </w:p>
  </w:footnote>
  <w:footnote w:type="continuationSeparator" w:id="0">
    <w:p w14:paraId="19C3756F" w14:textId="77777777" w:rsidR="009C6E9A" w:rsidRDefault="009C6E9A" w:rsidP="00934881">
      <w:pPr>
        <w:spacing w:after="0" w:line="240" w:lineRule="auto"/>
      </w:pPr>
      <w:r>
        <w:continuationSeparator/>
      </w:r>
    </w:p>
  </w:footnote>
  <w:footnote w:id="1">
    <w:p w14:paraId="0604EB86" w14:textId="08B87E4B" w:rsidR="00BD4CD3" w:rsidRPr="00D1796F" w:rsidRDefault="00BD4CD3">
      <w:pPr>
        <w:pStyle w:val="Notedebasdepage"/>
        <w:rPr>
          <w:lang w:val="en-US"/>
        </w:rPr>
      </w:pPr>
      <w:r w:rsidRPr="00E11A63">
        <w:rPr>
          <w:rStyle w:val="Appelnotedebasdep"/>
        </w:rPr>
        <w:footnoteRef/>
      </w:r>
      <w:r>
        <w:t xml:space="preserve"> </w:t>
      </w:r>
      <w:r>
        <w:fldChar w:fldCharType="begin"/>
      </w:r>
      <w:r>
        <w:instrText xml:space="preserve"> ADDIN ZOTERO_ITEM CSL_CITATION {"citationID":"F5nV50oA","properties":{"formattedCitation":"Nations Unies, \\uc0\\u171{}\\uc0\\u160{}Objectifs du Mill\\uc0\\u233{}naire pour le d\\uc0\\u233{}veloppement. Rapport 2015\\uc0\\u160{}\\uc0\\u187{}, 2015.","plainCitation":"Nations Unies, « Objectifs du Millénaire pour le développement. Rapport 2015 », 2015.","noteIndex":1},"citationItems":[{"id":166,"uris":["http://zotero.org/users/1644227/items/TPFXQ3KB"],"uri":["http://zotero.org/users/1644227/items/TPFXQ3KB"],"itemData":{"id":166,"type":"report","page":"75","title":"Objectifs du Millénaire pour le développement. Rapport 2015","author":[{"family":"Nations Unies","given":""}],"issued":{"date-parts":[["2015"]]}}}],"schema":"https://github.com/citation-style-language/schema/raw/master/csl-citation.json"} </w:instrText>
      </w:r>
      <w:r>
        <w:fldChar w:fldCharType="separate"/>
      </w:r>
      <w:r w:rsidRPr="00114CBC">
        <w:rPr>
          <w:rFonts w:ascii="Calibri" w:hAnsi="Calibri" w:cs="Calibri"/>
          <w:szCs w:val="24"/>
        </w:rPr>
        <w:t xml:space="preserve">Nations Unies, « Objectifs du Millénaire pour le développement. </w:t>
      </w:r>
      <w:r w:rsidRPr="00114CBC">
        <w:rPr>
          <w:rFonts w:ascii="Calibri" w:hAnsi="Calibri" w:cs="Calibri"/>
          <w:szCs w:val="24"/>
          <w:lang w:val="en-GB"/>
        </w:rPr>
        <w:t>Rapport 2015 », 2015.</w:t>
      </w:r>
      <w:r>
        <w:fldChar w:fldCharType="end"/>
      </w:r>
    </w:p>
  </w:footnote>
  <w:footnote w:id="2">
    <w:p w14:paraId="05CC2E94" w14:textId="05FC89E1" w:rsidR="00BD4CD3" w:rsidRPr="005525A5" w:rsidRDefault="00BD4CD3">
      <w:pPr>
        <w:pStyle w:val="Notedebasdepage"/>
        <w:rPr>
          <w:lang w:val="en-US"/>
        </w:rPr>
      </w:pPr>
      <w:r w:rsidRPr="00E11A63">
        <w:rPr>
          <w:rStyle w:val="Appelnotedebasdep"/>
        </w:rPr>
        <w:footnoteRef/>
      </w:r>
      <w:r w:rsidRPr="00D1796F">
        <w:rPr>
          <w:lang w:val="en-US"/>
        </w:rPr>
        <w:t xml:space="preserve"> </w:t>
      </w:r>
      <w:r>
        <w:fldChar w:fldCharType="begin"/>
      </w:r>
      <w:r w:rsidRPr="00D1796F">
        <w:rPr>
          <w:lang w:val="en-US"/>
        </w:rPr>
        <w:instrText xml:space="preserve"> ADDIN ZOTERO_ITEM CSL_CITATION {"citationID":"zTJCSsQE","properties":{"formattedCitation":"Nations Unies.","plainCitation":"Nations Unies.","noteIndex":2},"citationItems":[{"id":166,"uris":["http://zotero.org/users/1644227/items/TPFXQ3KB"],"uri":["http://zotero.org/users/1644227/items/TPFXQ3KB"],"itemData":{"id":166,"type":"report","page":"75","title":"Objectifs du Millénaire pour le développement. Rapport 2015","author":[{"family":"Nations Unies","given":""}],"issued":{"date-parts":[["2015"]]}}}],"schema":"https://github.com/citation-style-language/schema/raw/master/csl-citation.json"} </w:instrText>
      </w:r>
      <w:r>
        <w:fldChar w:fldCharType="separate"/>
      </w:r>
      <w:r w:rsidRPr="00114CBC">
        <w:rPr>
          <w:rFonts w:ascii="Calibri" w:hAnsi="Calibri" w:cs="Calibri"/>
          <w:lang w:val="en-GB"/>
        </w:rPr>
        <w:t>Nations Unies.</w:t>
      </w:r>
      <w:r>
        <w:fldChar w:fldCharType="end"/>
      </w:r>
    </w:p>
  </w:footnote>
  <w:footnote w:id="3">
    <w:p w14:paraId="05238E67" w14:textId="1D0710D8" w:rsidR="00BD4CD3" w:rsidRPr="006827E1" w:rsidRDefault="00BD4CD3">
      <w:pPr>
        <w:pStyle w:val="Notedebasdepage"/>
        <w:rPr>
          <w:lang w:val="en-GB"/>
        </w:rPr>
      </w:pPr>
      <w:r w:rsidRPr="00E11A63">
        <w:rPr>
          <w:rStyle w:val="Appelnotedebasdep"/>
        </w:rPr>
        <w:footnoteRef/>
      </w:r>
      <w:r w:rsidRPr="006827E1">
        <w:rPr>
          <w:lang w:val="en-GB"/>
        </w:rPr>
        <w:t xml:space="preserve"> </w:t>
      </w:r>
      <w:r>
        <w:fldChar w:fldCharType="begin"/>
      </w:r>
      <w:r>
        <w:rPr>
          <w:lang w:val="en-GB"/>
        </w:rPr>
        <w:instrText xml:space="preserve"> ADDIN ZOTERO_ITEM CSL_CITATION {"citationID":"fWcsgISe","properties":{"formattedCitation":"Barbara Ehrenreich et English Deirdre, {\\i{}Witches, Midwives, and Nurses: A History of Women Healers}, Feminist Press, 1973; The Boston Women\\uc0\\u8217{}s Health Book Collective, {\\i{}Our bodies, ourselves: a new edition for a new area}, 1973.","plainCitation":"Barbara Ehrenreich et English Deirdre, Witches, Midwives, and Nurses: A History of Women Healers, Feminist Press, 1973; The Boston Women’s Health Book Collective, Our bodies, ourselves: a new edition for a new area, 1973.","noteIndex":3},"citationItems":[{"id":6130,"uris":["http://zotero.org/users/1644227/items/8XZFZ4VX"],"uri":["http://zotero.org/users/1644227/items/8XZFZ4VX"],"itemData":{"id":6130,"type":"book","edition":"Feminist Press","title":"Witches, Midwives, and Nurses: A History of Women Healers","author":[{"family":"Ehrenreich","given":"Barbara"},{"family":"Deirdre","given":"English"}],"issued":{"date-parts":[["1973"]]}},"label":"page"},{"id":7042,"uris":["http://zotero.org/users/1644227/items/ELNMCPIV"],"uri":["http://zotero.org/users/1644227/items/ELNMCPIV"],"itemData":{"id":7042,"type":"book","title":"Our bodies, ourselves: a new edition for a new area","author":[{"family":"The Boston Women's Health Book Collective","given":""}],"issued":{"date-parts":[["1973"]]}},"label":"page"}],"schema":"https://github.com/citation-style-language/schema/raw/master/csl-citation.json"} </w:instrText>
      </w:r>
      <w:r>
        <w:fldChar w:fldCharType="separate"/>
      </w:r>
      <w:r w:rsidRPr="004137B1">
        <w:rPr>
          <w:rFonts w:ascii="Calibri" w:hAnsi="Calibri" w:cs="Calibri"/>
          <w:szCs w:val="24"/>
          <w:lang w:val="en-GB"/>
        </w:rPr>
        <w:t xml:space="preserve">Barbara Ehrenreich et English Deirdre, </w:t>
      </w:r>
      <w:r w:rsidRPr="004137B1">
        <w:rPr>
          <w:rFonts w:ascii="Calibri" w:hAnsi="Calibri" w:cs="Calibri"/>
          <w:i/>
          <w:iCs/>
          <w:szCs w:val="24"/>
          <w:lang w:val="en-GB"/>
        </w:rPr>
        <w:t>Witches, Midwives, and Nurses: A History of Women Healers</w:t>
      </w:r>
      <w:r w:rsidRPr="004137B1">
        <w:rPr>
          <w:rFonts w:ascii="Calibri" w:hAnsi="Calibri" w:cs="Calibri"/>
          <w:szCs w:val="24"/>
          <w:lang w:val="en-GB"/>
        </w:rPr>
        <w:t xml:space="preserve">, Feminist Press, 1973; The Boston Women’s Health Book Collective, </w:t>
      </w:r>
      <w:r w:rsidRPr="004137B1">
        <w:rPr>
          <w:rFonts w:ascii="Calibri" w:hAnsi="Calibri" w:cs="Calibri"/>
          <w:i/>
          <w:iCs/>
          <w:szCs w:val="24"/>
          <w:lang w:val="en-GB"/>
        </w:rPr>
        <w:t>Our bodies, ourselves: a new edition for a new area</w:t>
      </w:r>
      <w:r w:rsidRPr="004137B1">
        <w:rPr>
          <w:rFonts w:ascii="Calibri" w:hAnsi="Calibri" w:cs="Calibri"/>
          <w:szCs w:val="24"/>
          <w:lang w:val="en-GB"/>
        </w:rPr>
        <w:t xml:space="preserve">, </w:t>
      </w:r>
      <w:r>
        <w:rPr>
          <w:rFonts w:ascii="Calibri" w:hAnsi="Calibri" w:cs="Calibri"/>
          <w:szCs w:val="24"/>
          <w:lang w:val="en-GB"/>
        </w:rPr>
        <w:t xml:space="preserve">2020 (1ère édition </w:t>
      </w:r>
      <w:r w:rsidRPr="004137B1">
        <w:rPr>
          <w:rFonts w:ascii="Calibri" w:hAnsi="Calibri" w:cs="Calibri"/>
          <w:szCs w:val="24"/>
          <w:lang w:val="en-GB"/>
        </w:rPr>
        <w:t>1973</w:t>
      </w:r>
      <w:r>
        <w:rPr>
          <w:rFonts w:ascii="Calibri" w:hAnsi="Calibri" w:cs="Calibri"/>
          <w:szCs w:val="24"/>
          <w:lang w:val="en-GB"/>
        </w:rPr>
        <w:t>)</w:t>
      </w:r>
      <w:r w:rsidRPr="004137B1">
        <w:rPr>
          <w:rFonts w:ascii="Calibri" w:hAnsi="Calibri" w:cs="Calibri"/>
          <w:szCs w:val="24"/>
          <w:lang w:val="en-GB"/>
        </w:rPr>
        <w:t>.</w:t>
      </w:r>
      <w:r>
        <w:fldChar w:fldCharType="end"/>
      </w:r>
    </w:p>
  </w:footnote>
  <w:footnote w:id="4">
    <w:p w14:paraId="401AC675" w14:textId="56A17BE9" w:rsidR="00BD4CD3" w:rsidRPr="006827E1" w:rsidRDefault="00BD4CD3">
      <w:pPr>
        <w:pStyle w:val="Notedebasdepage"/>
        <w:rPr>
          <w:lang w:val="en-GB"/>
        </w:rPr>
      </w:pPr>
      <w:r w:rsidRPr="00E11A63">
        <w:rPr>
          <w:rStyle w:val="Appelnotedebasdep"/>
        </w:rPr>
        <w:footnoteRef/>
      </w:r>
      <w:r w:rsidRPr="006827E1">
        <w:rPr>
          <w:lang w:val="en-GB"/>
        </w:rPr>
        <w:t xml:space="preserve"> </w:t>
      </w:r>
      <w:r>
        <w:fldChar w:fldCharType="begin"/>
      </w:r>
      <w:r>
        <w:rPr>
          <w:lang w:val="en-GB"/>
        </w:rPr>
        <w:instrText xml:space="preserve"> ADDIN ZOTERO_ITEM CSL_CITATION {"citationID":"5MVry5Bh","properties":{"formattedCitation":"Ana Fl\\uc0\\u225{}via Pires Lucas d\\uc0\\u8217{}Oliveira, Simone Grilo Diniz, et Lilia Blima Schraiber, \\uc0\\u171{}\\uc0\\u160{}Violence against Women in Health-Care Institutions: An Emerging Problem\\uc0\\u160{}\\uc0\\u187{}, {\\i{}The Lancet} 359, n\\super o\\nosupersub{} 9318 (mai 2002): 1681\\uc0\\u8209{}85, https://doi.org/10.1016/S0140-6736(02)08592-6; Simone G. Diniz et Alessandra S. Chacham, \\uc0\\u171{}\\uc0\\u160{}\\uc0\\u8220{}The cut above\\uc0\\u8221{} and \\uc0\\u8220{}the cut below\\uc0\\u8221{}: the abuse of caesareans and episiotomy in S\\uc0\\u227{}o Paulo, Brazil\\uc0\\u160{}\\uc0\\u187{}, {\\i{}Reproductive Health Matters} 12, n\\super o\\nosupersub{} 23 (2004): 100\\uc0\\u8211{}110.","plainCitation":"Ana Flávia Pires Lucas d’Oliveira, Simone Grilo Diniz, et Lilia Blima Schraiber, « Violence against Women in Health-Care Institutions: An Emerging Problem », The Lancet 359, no 9318 (mai 2002): 1681</w:instrText>
      </w:r>
      <w:r>
        <w:rPr>
          <w:rFonts w:ascii="Cambria Math" w:hAnsi="Cambria Math" w:cs="Cambria Math"/>
          <w:lang w:val="en-GB"/>
        </w:rPr>
        <w:instrText>‑</w:instrText>
      </w:r>
      <w:r>
        <w:rPr>
          <w:lang w:val="en-GB"/>
        </w:rPr>
        <w:instrText xml:space="preserve">85, https://doi.org/10.1016/S0140-6736(02)08592-6; Simone G. Diniz et Alessandra S. Chacham, </w:instrText>
      </w:r>
      <w:r>
        <w:rPr>
          <w:rFonts w:ascii="Calibri" w:hAnsi="Calibri" w:cs="Calibri"/>
          <w:lang w:val="en-GB"/>
        </w:rPr>
        <w:instrText>« “</w:instrText>
      </w:r>
      <w:r>
        <w:rPr>
          <w:lang w:val="en-GB"/>
        </w:rPr>
        <w:instrText>The cut above</w:instrText>
      </w:r>
      <w:r>
        <w:rPr>
          <w:rFonts w:ascii="Calibri" w:hAnsi="Calibri" w:cs="Calibri"/>
          <w:lang w:val="en-GB"/>
        </w:rPr>
        <w:instrText>”</w:instrText>
      </w:r>
      <w:r>
        <w:rPr>
          <w:lang w:val="en-GB"/>
        </w:rPr>
        <w:instrText xml:space="preserve"> and </w:instrText>
      </w:r>
      <w:r>
        <w:rPr>
          <w:rFonts w:ascii="Calibri" w:hAnsi="Calibri" w:cs="Calibri"/>
          <w:lang w:val="en-GB"/>
        </w:rPr>
        <w:instrText>“</w:instrText>
      </w:r>
      <w:r>
        <w:rPr>
          <w:lang w:val="en-GB"/>
        </w:rPr>
        <w:instrText>the cut below</w:instrText>
      </w:r>
      <w:r>
        <w:rPr>
          <w:rFonts w:ascii="Calibri" w:hAnsi="Calibri" w:cs="Calibri"/>
          <w:lang w:val="en-GB"/>
        </w:rPr>
        <w:instrText>”</w:instrText>
      </w:r>
      <w:r>
        <w:rPr>
          <w:lang w:val="en-GB"/>
        </w:rPr>
        <w:instrText>: the abuse of caesareans and episiotomy in S</w:instrText>
      </w:r>
      <w:r>
        <w:rPr>
          <w:rFonts w:ascii="Calibri" w:hAnsi="Calibri" w:cs="Calibri"/>
          <w:lang w:val="en-GB"/>
        </w:rPr>
        <w:instrText>ã</w:instrText>
      </w:r>
      <w:r>
        <w:rPr>
          <w:lang w:val="en-GB"/>
        </w:rPr>
        <w:instrText>o Paulo, Brazil</w:instrText>
      </w:r>
      <w:r>
        <w:rPr>
          <w:rFonts w:ascii="Calibri" w:hAnsi="Calibri" w:cs="Calibri"/>
          <w:lang w:val="en-GB"/>
        </w:rPr>
        <w:instrText> »</w:instrText>
      </w:r>
      <w:r>
        <w:rPr>
          <w:lang w:val="en-GB"/>
        </w:rPr>
        <w:instrText>, Reproductive Health Matters 12, no 23 (2004): 100</w:instrText>
      </w:r>
      <w:r>
        <w:rPr>
          <w:rFonts w:ascii="Calibri" w:hAnsi="Calibri" w:cs="Calibri"/>
          <w:lang w:val="en-GB"/>
        </w:rPr>
        <w:instrText>–</w:instrText>
      </w:r>
      <w:r>
        <w:rPr>
          <w:lang w:val="en-GB"/>
        </w:rPr>
        <w:instrText xml:space="preserve">110.","noteIndex":4},"citationItems":[{"id":6035,"uris":["http://zotero.org/users/1644227/items/H2QKHGMD"],"uri":["http://zotero.org/users/1644227/items/H2QKHGMD"],"itemData":{"id":6035,"type":"article-journal","container-title":"The Lancet","DOI":"10.1016/S0140-6736(02)08592-6","ISSN":"01406736","issue":"9318","language":"en","page":"1681-1685","source":"Crossref","title":"Violence against women in health-care institutions: an emerging problem","title-short":"Violence against women in health-care institutions","volume":"359","author":[{"family":"Oliveira","given":"Ana Flávia Pires Lucas","non-dropping-particle":"d'"},{"family":"Diniz","given":"Simone Grilo"},{"family":"Schraiber","given":"Lilia Blima"}],"issued":{"date-parts":[["2002",5]]}},"label":"page"},{"id":327,"uris":["http://zotero.org/users/1644227/items/XNUP4IZA"],"uri":["http://zotero.org/users/1644227/items/XNUP4IZA"],"itemData":{"id":327,"type":"article-journal","container-title":"Reproductive Health Matters","issue":"23","page":"100–110","source":"Google Scholar","title":"“The cut above” and “the cut below”: the abuse of caesareans and episiotomy in São Paulo, Brazil","title-short":"“The cut above” and “the cut below”","volume":"12","author":[{"family":"Diniz","given":"Simone G."},{"family":"Chacham","given":"Alessandra S."}],"issued":{"date-parts":[["2004"]]}},"label":"page"}],"schema":"https://github.com/citation-style-language/schema/raw/master/csl-citation.json"} </w:instrText>
      </w:r>
      <w:r>
        <w:fldChar w:fldCharType="separate"/>
      </w:r>
      <w:r w:rsidRPr="00114CBC">
        <w:rPr>
          <w:rFonts w:ascii="Calibri" w:hAnsi="Calibri" w:cs="Calibri"/>
          <w:szCs w:val="24"/>
          <w:lang w:val="en-GB"/>
        </w:rPr>
        <w:t xml:space="preserve">Ana Flávia Pires Lucas d’Oliveira, Simone Grilo Diniz, et Lilia Blima Schraiber, « Violence against Women in Health-Care Institutions: An Emerging Problem », </w:t>
      </w:r>
      <w:r w:rsidRPr="00114CBC">
        <w:rPr>
          <w:rFonts w:ascii="Calibri" w:hAnsi="Calibri" w:cs="Calibri"/>
          <w:i/>
          <w:iCs/>
          <w:szCs w:val="24"/>
          <w:lang w:val="en-GB"/>
        </w:rPr>
        <w:t>The Lancet</w:t>
      </w:r>
      <w:r w:rsidRPr="00114CBC">
        <w:rPr>
          <w:rFonts w:ascii="Calibri" w:hAnsi="Calibri" w:cs="Calibri"/>
          <w:szCs w:val="24"/>
          <w:lang w:val="en-GB"/>
        </w:rPr>
        <w:t xml:space="preserve"> 359, n</w:t>
      </w:r>
      <w:r w:rsidRPr="00114CBC">
        <w:rPr>
          <w:rFonts w:ascii="Calibri" w:hAnsi="Calibri" w:cs="Calibri"/>
          <w:szCs w:val="24"/>
          <w:vertAlign w:val="superscript"/>
          <w:lang w:val="en-GB"/>
        </w:rPr>
        <w:t>o</w:t>
      </w:r>
      <w:r w:rsidRPr="00114CBC">
        <w:rPr>
          <w:rFonts w:ascii="Calibri" w:hAnsi="Calibri" w:cs="Calibri"/>
          <w:szCs w:val="24"/>
          <w:lang w:val="en-GB"/>
        </w:rPr>
        <w:t xml:space="preserve"> 9318 (mai 2002): 1681‑85, https://doi.org/10.1016/S0140-6736(02)08592-6; Simone G. Diniz et Alessandra S. Chacham, « “The cut above” and “the cut below”: the abuse of caesareans and episiotomy in São Paulo, Brazil », </w:t>
      </w:r>
      <w:r w:rsidRPr="00114CBC">
        <w:rPr>
          <w:rFonts w:ascii="Calibri" w:hAnsi="Calibri" w:cs="Calibri"/>
          <w:i/>
          <w:iCs/>
          <w:szCs w:val="24"/>
          <w:lang w:val="en-GB"/>
        </w:rPr>
        <w:t>Reproductive Health Matters</w:t>
      </w:r>
      <w:r w:rsidRPr="00114CBC">
        <w:rPr>
          <w:rFonts w:ascii="Calibri" w:hAnsi="Calibri" w:cs="Calibri"/>
          <w:szCs w:val="24"/>
          <w:lang w:val="en-GB"/>
        </w:rPr>
        <w:t xml:space="preserve"> 12, n</w:t>
      </w:r>
      <w:r w:rsidRPr="00114CBC">
        <w:rPr>
          <w:rFonts w:ascii="Calibri" w:hAnsi="Calibri" w:cs="Calibri"/>
          <w:szCs w:val="24"/>
          <w:vertAlign w:val="superscript"/>
          <w:lang w:val="en-GB"/>
        </w:rPr>
        <w:t>o</w:t>
      </w:r>
      <w:r w:rsidRPr="00114CBC">
        <w:rPr>
          <w:rFonts w:ascii="Calibri" w:hAnsi="Calibri" w:cs="Calibri"/>
          <w:szCs w:val="24"/>
          <w:lang w:val="en-GB"/>
        </w:rPr>
        <w:t xml:space="preserve"> 23 (2004): 100–110.</w:t>
      </w:r>
      <w:r>
        <w:fldChar w:fldCharType="end"/>
      </w:r>
    </w:p>
  </w:footnote>
  <w:footnote w:id="5">
    <w:p w14:paraId="5E3C4374" w14:textId="2F52FE91" w:rsidR="00BD4CD3" w:rsidRPr="006827E1" w:rsidRDefault="00BD4CD3" w:rsidP="00F10532">
      <w:pPr>
        <w:pStyle w:val="Notedebasdepage"/>
        <w:rPr>
          <w:lang w:val="es-ES"/>
        </w:rPr>
      </w:pPr>
      <w:r w:rsidRPr="00E11A63">
        <w:rPr>
          <w:rStyle w:val="Appelnotedebasdep"/>
        </w:rPr>
        <w:footnoteRef/>
      </w:r>
      <w:r w:rsidRPr="006827E1">
        <w:rPr>
          <w:lang w:val="es-ES"/>
        </w:rPr>
        <w:t xml:space="preserve"> </w:t>
      </w:r>
      <w:r>
        <w:fldChar w:fldCharType="begin"/>
      </w:r>
      <w:r>
        <w:rPr>
          <w:lang w:val="es-ES"/>
        </w:rPr>
        <w:instrText xml:space="preserve"> ADDIN ZOTERO_ITEM CSL_CITATION {"citationID":"iW0CXMx9","properties":{"formattedCitation":"Rep\\uc0\\u250{}blica Bolivariana de Venezuela, \\uc0\\u171{}\\uc0\\u160{}Ley Org\\uc0\\u225{}nica sobre el derecho de las mujeres a una vida libre de violencia\\uc0\\u160{}\\uc0\\u187{} (Caracas, Venezuela, 2007).","plainCitation":"República Bolivariana de Venezuela, « Ley Orgánica sobre el derecho de las mujeres a una vida libre de violencia » (Caracas, Venezuela, 2007).","noteIndex":5},"citationItems":[{"id":6024,"uris":["http://zotero.org/users/1644227/items/ALAH5ZN4"],"uri":["http://zotero.org/users/1644227/items/ALAH5ZN4"],"itemData":{"id":6024,"type":"report","event-place":"Caracas, Venezuela","publisher-place":"Caracas, Venezuela","title":"Ley Orgánica sobre el derecho de las mujeres a una vida libre de violencia","author":[{"family":"República Bolivariana de Venezuela","given":""}],"issued":{"date-parts":[["2007"]]}}}],"schema":"https://github.com/citation-style-language/schema/raw/master/csl-citation.json"} </w:instrText>
      </w:r>
      <w:r>
        <w:fldChar w:fldCharType="separate"/>
      </w:r>
      <w:r w:rsidRPr="00E450BA">
        <w:rPr>
          <w:rFonts w:ascii="Calibri" w:hAnsi="Calibri" w:cs="Calibri"/>
          <w:szCs w:val="24"/>
          <w:lang w:val="es-ES"/>
        </w:rPr>
        <w:t>República Bolivariana de Venezuela, « Ley Orgánica sobre el derecho de las mujeres a una vida libre de violencia » (Caracas, Venezuela, 2007).</w:t>
      </w:r>
      <w:r>
        <w:fldChar w:fldCharType="end"/>
      </w:r>
    </w:p>
  </w:footnote>
  <w:footnote w:id="6">
    <w:p w14:paraId="48F4A7E2" w14:textId="2260730A" w:rsidR="00BD4CD3" w:rsidRPr="00114CBC" w:rsidRDefault="00BD4CD3">
      <w:pPr>
        <w:pStyle w:val="Notedebasdepage"/>
        <w:rPr>
          <w:lang w:val="en-GB"/>
        </w:rPr>
      </w:pPr>
      <w:r w:rsidRPr="00E11A63">
        <w:rPr>
          <w:rStyle w:val="Appelnotedebasdep"/>
        </w:rPr>
        <w:footnoteRef/>
      </w:r>
      <w:r w:rsidRPr="00114CBC">
        <w:rPr>
          <w:lang w:val="en-GB"/>
        </w:rPr>
        <w:t xml:space="preserve"> </w:t>
      </w:r>
      <w:r>
        <w:fldChar w:fldCharType="begin"/>
      </w:r>
      <w:r w:rsidRPr="00114CBC">
        <w:rPr>
          <w:lang w:val="en-GB"/>
        </w:rPr>
        <w:instrText xml:space="preserve"> ADDIN ZOTERO_ITEM CSL_CITATION {"citationID":"NmUKb4MF","properties":{"formattedCitation":"Patrizia Quattrocchi, \\uc0\\u171{}\\uc0\\u160{}Obstetric Violence Observatory: Contributions of Argentina to the International Debate\\uc0\\u160{}\\uc0\\u187{}, {\\i{}Medical Anthropology}, 9 mai 2019, https://www.tandfonline.com/doi/abs/10.1080/01459740.2019.1609471.","plainCitation":"Patrizia Quattrocchi, « Obstetric Violence Observatory: Contributions of Argentina to the International Debate », Medical Anthropology, 9 mai 2019, https://www.tandfonline.com/doi/abs/10.1080/01459740.2019.1609471.","noteIndex":6},"citationItems":[{"id":5796,"uris":["http://zotero.org/users/1644227/items/3D6L94TX"],"uri":["http://zotero.org/users/1644227/items/3D6L94TX"],"itemData":{"id":5796,"type":"article-journal","abstract":"(2019). Obstetric Violence Observatory: Contributions of Argentina to the International Debate. Medical Anthropology. Ahead of Print.","archive_location":"world","container-title":"Medical Anthropology","ISSN":"10.1080/01459740.2019.1609471","language":"en","source":"www.tandfonline.com","title":"Obstetric Violence Observatory: Contributions of Argentina to the International Debate","title-short":"Obstetric Violence Observatory","URL":"https://www.tandfonline.com/doi/abs/10.1080/01459740.2019.1609471","author":[{"family":"Quattrocchi","given":"Patrizia"}],"accessed":{"date-parts":[["2019",5,14]]},"issued":{"date-parts":[["2019",5,9]]}}}],"schema":"https://github.com/citation-style-language/schema/raw/master/csl-citation.json"} </w:instrText>
      </w:r>
      <w:r>
        <w:fldChar w:fldCharType="separate"/>
      </w:r>
      <w:r w:rsidRPr="00114CBC">
        <w:rPr>
          <w:rFonts w:ascii="Calibri" w:hAnsi="Calibri" w:cs="Calibri"/>
          <w:szCs w:val="24"/>
          <w:lang w:val="en-GB"/>
        </w:rPr>
        <w:t xml:space="preserve">Patrizia Quattrocchi, « Obstetric Violence Observatory: Contributions of Argentina to the International Debate », </w:t>
      </w:r>
      <w:r w:rsidRPr="00114CBC">
        <w:rPr>
          <w:rFonts w:ascii="Calibri" w:hAnsi="Calibri" w:cs="Calibri"/>
          <w:i/>
          <w:iCs/>
          <w:szCs w:val="24"/>
          <w:lang w:val="en-GB"/>
        </w:rPr>
        <w:t>Medical Anthropology</w:t>
      </w:r>
      <w:r w:rsidRPr="00114CBC">
        <w:rPr>
          <w:rFonts w:ascii="Calibri" w:hAnsi="Calibri" w:cs="Calibri"/>
          <w:szCs w:val="24"/>
          <w:lang w:val="en-GB"/>
        </w:rPr>
        <w:t>, 9 mai 2019, https://www.tandfonline.com/doi/abs/10.1080/01459740.2019.1609471.</w:t>
      </w:r>
      <w:r>
        <w:fldChar w:fldCharType="end"/>
      </w:r>
    </w:p>
  </w:footnote>
  <w:footnote w:id="7">
    <w:p w14:paraId="6CD974C5" w14:textId="4ADA7DEC" w:rsidR="00BD4CD3" w:rsidRDefault="00BD4CD3" w:rsidP="004D74B0">
      <w:pPr>
        <w:pStyle w:val="Notedebasdepage"/>
      </w:pPr>
      <w:r w:rsidRPr="00E11A63">
        <w:rPr>
          <w:rStyle w:val="Appelnotedebasdep"/>
        </w:rPr>
        <w:footnoteRef/>
      </w:r>
      <w:r>
        <w:t xml:space="preserve"> </w:t>
      </w:r>
      <w:r>
        <w:fldChar w:fldCharType="begin"/>
      </w:r>
      <w:r>
        <w:instrText xml:space="preserve"> ADDIN ZOTERO_ITEM CSL_CITATION {"citationID":"ILwrA1rZ","properties":{"formattedCitation":"Mounia El Kotni, \\uc0\\u171{}\\uc0\\u160{}La place du consentement dans les exp\\uc0\\u233{}riences de violences obst\\uc0\\u233{}tricales au Mexique\\uc0\\u160{}\\uc0\\u187{}, {\\i{}Autrepart} N\\uc0\\u176{}85, n\\super o\\nosupersub{} 1 (2018): 39, https://doi.org/10.3917/autr.085.0039.","plainCitation":"Mounia El Kotni, « La place du consentement dans les expériences de violences obstétricales au Mexique », Autrepart N°85, no 1 (2018): 39, https://doi.org/10.3917/autr.085.0039.","noteIndex":7},"citationItems":[{"id":"XirzSxWp/3hI37MaT","uris":["http://zotero.org/users/4504888/items/PU2AWGMR"],"uri":["http://zotero.org/users/4504888/items/PU2AWGMR"],"itemData":{"id":404,"type":"article-journal","container-title":"Autrepart","DOI":"10.3917/autr.085.0039","ISSN":"1278-3986, 2109-9561","issue":"1","language":"fr","page":"39","source":"DOI.org (Crossref)","title":"La place du consentement dans les expériences de violences obstétricales au Mexique","volume":"N°85","author":[{"family":"El Kotni","given":"Mounia"}],"issued":{"date-parts":[["2018"]]}}}],"schema":"https://github.com/citation-style-language/schema/raw/master/csl-citation.json"} </w:instrText>
      </w:r>
      <w:r>
        <w:fldChar w:fldCharType="separate"/>
      </w:r>
      <w:r w:rsidRPr="00114CBC">
        <w:rPr>
          <w:rFonts w:ascii="Calibri" w:hAnsi="Calibri" w:cs="Calibri"/>
          <w:szCs w:val="24"/>
        </w:rPr>
        <w:t xml:space="preserve">Mounia El Kotni, « La place du consentement dans les expériences de violences obstétricales au Mexique », </w:t>
      </w:r>
      <w:r w:rsidRPr="00114CBC">
        <w:rPr>
          <w:rFonts w:ascii="Calibri" w:hAnsi="Calibri" w:cs="Calibri"/>
          <w:i/>
          <w:iCs/>
          <w:szCs w:val="24"/>
        </w:rPr>
        <w:t>Autrepart</w:t>
      </w:r>
      <w:r w:rsidRPr="00114CBC">
        <w:rPr>
          <w:rFonts w:ascii="Calibri" w:hAnsi="Calibri" w:cs="Calibri"/>
          <w:szCs w:val="24"/>
        </w:rPr>
        <w:t xml:space="preserve"> N°85, n</w:t>
      </w:r>
      <w:r w:rsidRPr="00114CBC">
        <w:rPr>
          <w:rFonts w:ascii="Calibri" w:hAnsi="Calibri" w:cs="Calibri"/>
          <w:szCs w:val="24"/>
          <w:vertAlign w:val="superscript"/>
        </w:rPr>
        <w:t>o</w:t>
      </w:r>
      <w:r w:rsidRPr="00114CBC">
        <w:rPr>
          <w:rFonts w:ascii="Calibri" w:hAnsi="Calibri" w:cs="Calibri"/>
          <w:szCs w:val="24"/>
        </w:rPr>
        <w:t xml:space="preserve"> 1 (2018): 39, https://doi.org/10.3917/autr.085.0039.</w:t>
      </w:r>
      <w:r>
        <w:fldChar w:fldCharType="end"/>
      </w:r>
    </w:p>
  </w:footnote>
  <w:footnote w:id="8">
    <w:p w14:paraId="6D61AA71" w14:textId="1DFEE786" w:rsidR="00BD4CD3" w:rsidRPr="001D39D7" w:rsidRDefault="00BD4CD3" w:rsidP="00EA4303">
      <w:pPr>
        <w:pStyle w:val="Notedebasdepage"/>
      </w:pPr>
      <w:r w:rsidRPr="00E11A63">
        <w:rPr>
          <w:rStyle w:val="Appelnotedebasdep"/>
        </w:rPr>
        <w:footnoteRef/>
      </w:r>
      <w:r w:rsidRPr="001D39D7">
        <w:t xml:space="preserve"> </w:t>
      </w:r>
      <w:r>
        <w:fldChar w:fldCharType="begin"/>
      </w:r>
      <w:r>
        <w:instrText xml:space="preserve"> ADDIN ZOTERO_ITEM CSL_CITATION {"citationID":"bKbDsSsP","properties":{"formattedCitation":"HCE, \\uc0\\u171{}\\uc0\\u160{}Les actes sexistes durant le suivi gyn\\uc0\\u233{}cologique et obst\\uc0\\u233{}trical. Des remarques aux violences, la n\\uc0\\u233{}cessit\\uc0\\u233{} de reconnaitre, pr\\uc0\\u233{}venir et condamner le sexisme\\uc0\\u160{}\\uc0\\u187{} (Paris, France, 26 juin 2018).","plainCitation":"HCE, « Les actes sexistes durant le suivi gynécologique et obstétrical. Des remarques aux violences, la nécessité de reconnaitre, prévenir et condamner le sexisme » (Paris, France, 26 juin 2018).","noteIndex":8},"citationItems":[{"id":6019,"uris":["http://zotero.org/users/1644227/items/YZXCB3NR"],"uri":["http://zotero.org/users/1644227/items/YZXCB3NR"],"itemData":{"id":6019,"type":"report","event-place":"Paris, France","number":"Rapport n°2018-06-26-SAN-034","page":"164","publisher-place":"Paris, France","title":"Les actes sexistes durant le suivi gynécologique et obstétrical. Des remarques aux violences, la nécessité de reconnaitre, prévenir et condamner le sexisme","author":[{"family":"HCE","given":""}],"issued":{"date-parts":[["2018",6,26]]}}}],"schema":"https://github.com/citation-style-language/schema/raw/master/csl-citation.json"} </w:instrText>
      </w:r>
      <w:r>
        <w:fldChar w:fldCharType="separate"/>
      </w:r>
      <w:r w:rsidRPr="00114CBC">
        <w:rPr>
          <w:rFonts w:ascii="Calibri" w:hAnsi="Calibri" w:cs="Calibri"/>
          <w:szCs w:val="24"/>
        </w:rPr>
        <w:t>HCE, « Les actes sexistes durant le suivi gynécologique et obstétrical. Des remarques aux violences, la nécessité de reconnaitre, prévenir et condamner le sexisme » (Paris, France, 26 juin 2018).</w:t>
      </w:r>
      <w:r>
        <w:fldChar w:fldCharType="end"/>
      </w:r>
    </w:p>
  </w:footnote>
  <w:footnote w:id="9">
    <w:p w14:paraId="56D49B13" w14:textId="0C583BBA" w:rsidR="00BD4CD3" w:rsidRPr="00CB29DA" w:rsidRDefault="00BD4CD3" w:rsidP="00DF10E9">
      <w:pPr>
        <w:pStyle w:val="Notedebasdepage"/>
      </w:pPr>
      <w:r w:rsidRPr="00E11A63">
        <w:rPr>
          <w:rStyle w:val="Appelnotedebasdep"/>
        </w:rPr>
        <w:footnoteRef/>
      </w:r>
      <w:r w:rsidRPr="00CB29DA">
        <w:t xml:space="preserve"> </w:t>
      </w:r>
      <w:r>
        <w:fldChar w:fldCharType="begin"/>
      </w:r>
      <w:r>
        <w:instrText xml:space="preserve"> ADDIN ZOTERO_ITEM CSL_CITATION {"citationID":"xgnuq7sz","properties":{"formattedCitation":"D\\uc0\\u225{}na-Ain Davis, \\uc0\\u171{}\\uc0\\u160{}Obstetric racism: the racial politics of pregnancy, labor, and birthing\\uc0\\u160{}\\uc0\\u187{}, {\\i{}Medical anthropology} 38, n\\super o\\nosupersub{} 7 (2019): 560\\uc0\\u8211{}573; HCE, \\uc0\\u171{}\\uc0\\u160{}Les actes sexistes durant le suivi gyn\\uc0\\u233{}cologique et obst\\uc0\\u233{}trical. Des remarques aux violences, la n\\uc0\\u233{}cessit\\uc0\\u233{} de reconnaitre, pr\\uc0\\u233{}venir et condamner le sexisme\\uc0\\u160{}\\uc0\\u187{}.","plainCitation":"Dána-Ain Davis, « Obstetric racism: the racial politics of pregnancy, labor, and birthing », Medical anthropology 38, no 7 (2019): 560–573; HCE, « Les actes sexistes durant le suivi gynécologique et obstétrical. Des remarques aux violences, la nécessité de reconnaitre, prévenir et condamner le sexisme ».","noteIndex":9},"citationItems":[{"id":7043,"uris":["http://zotero.org/users/1644227/items/7XNYG2MF"],"uri":["http://zotero.org/users/1644227/items/7XNYG2MF"],"itemData":{"id":7043,"type":"article-journal","container-title":"Medical anthropology","issue":"7","note":"publisher: Taylor &amp; Francis","page":"560–573","source":"Google Scholar","title":"Obstetric racism: the racial politics of pregnancy, labor, and birthing","title-short":"Obstetric racism","volume":"38","author":[{"family":"Davis","given":"Dána-Ain"}],"issued":{"date-parts":[["2019"]]}},"label":"page"},{"id":6019,"uris":["http://zotero.org/users/1644227/items/YZXCB3NR"],"uri":["http://zotero.org/users/1644227/items/YZXCB3NR"],"itemData":{"id":6019,"type":"report","event-place":"Paris, France","number":"Rapport n°2018-06-26-SAN-034","page":"164","publisher-place":"Paris, France","title":"Les actes sexistes durant le suivi gynécologique et obstétrical. Des remarques aux violences, la nécessité de reconnaitre, prévenir et condamner le sexisme","author":[{"family":"HCE","given":""}],"issued":{"date-parts":[["2018",6,26]]}},"label":"page"}],"schema":"https://github.com/citation-style-language/schema/raw/master/csl-citation.json"} </w:instrText>
      </w:r>
      <w:r>
        <w:fldChar w:fldCharType="separate"/>
      </w:r>
      <w:r w:rsidRPr="00114CBC">
        <w:rPr>
          <w:rFonts w:ascii="Calibri" w:hAnsi="Calibri" w:cs="Calibri"/>
          <w:szCs w:val="24"/>
        </w:rPr>
        <w:t xml:space="preserve">Dána-Ain Davis, « Obstetric racism: the racial politics of pregnancy, labor, and birthing », </w:t>
      </w:r>
      <w:r w:rsidRPr="00114CBC">
        <w:rPr>
          <w:rFonts w:ascii="Calibri" w:hAnsi="Calibri" w:cs="Calibri"/>
          <w:i/>
          <w:iCs/>
          <w:szCs w:val="24"/>
        </w:rPr>
        <w:t>Medical anthropology</w:t>
      </w:r>
      <w:r w:rsidRPr="00114CBC">
        <w:rPr>
          <w:rFonts w:ascii="Calibri" w:hAnsi="Calibri" w:cs="Calibri"/>
          <w:szCs w:val="24"/>
        </w:rPr>
        <w:t xml:space="preserve"> 38, n</w:t>
      </w:r>
      <w:r w:rsidRPr="00114CBC">
        <w:rPr>
          <w:rFonts w:ascii="Calibri" w:hAnsi="Calibri" w:cs="Calibri"/>
          <w:szCs w:val="24"/>
          <w:vertAlign w:val="superscript"/>
        </w:rPr>
        <w:t>o</w:t>
      </w:r>
      <w:r w:rsidRPr="00114CBC">
        <w:rPr>
          <w:rFonts w:ascii="Calibri" w:hAnsi="Calibri" w:cs="Calibri"/>
          <w:szCs w:val="24"/>
        </w:rPr>
        <w:t xml:space="preserve"> 7 (2019): 560–573; HCE, « Les actes sexistes durant le suivi gynécologique et obstétrical. Des remarques aux violences, la nécessité de reconnaitre, prévenir et condamner le sexisme ».</w:t>
      </w:r>
      <w:r>
        <w:fldChar w:fldCharType="end"/>
      </w:r>
    </w:p>
  </w:footnote>
  <w:footnote w:id="10">
    <w:p w14:paraId="354E02A4" w14:textId="6095641F" w:rsidR="00BD4CD3" w:rsidRPr="006827E1" w:rsidRDefault="00BD4CD3">
      <w:pPr>
        <w:pStyle w:val="Notedebasdepage"/>
        <w:rPr>
          <w:lang w:val="en-GB"/>
        </w:rPr>
      </w:pPr>
      <w:r w:rsidRPr="00E11A63">
        <w:rPr>
          <w:rStyle w:val="Appelnotedebasdep"/>
        </w:rPr>
        <w:footnoteRef/>
      </w:r>
      <w:r w:rsidRPr="006827E1">
        <w:rPr>
          <w:lang w:val="en-GB"/>
        </w:rPr>
        <w:t xml:space="preserve"> </w:t>
      </w:r>
      <w:r>
        <w:fldChar w:fldCharType="begin"/>
      </w:r>
      <w:r>
        <w:rPr>
          <w:lang w:val="en-GB"/>
        </w:rPr>
        <w:instrText xml:space="preserve"> ADDIN ZOTERO_ITEM CSL_CITATION {"citationID":"paN65k95","properties":{"formattedCitation":"d\\uc0\\u8217{}Oliveira, Diniz, et Schraiber, \\uc0\\u171{}\\uc0\\u160{}Violence against Women in Health-Care Institutions\\uc0\\u160{}\\uc0\\u187{}.","plainCitation":"d’Oliveira, Diniz, et Schraiber, « Violence against Women in Health-Care Institutions ».","noteIndex":10},"citationItems":[{"id":6035,"uris":["http://zotero.org/users/1644227/items/H2QKHGMD"],"uri":["http://zotero.org/users/1644227/items/H2QKHGMD"],"itemData":{"id":6035,"type":"article-journal","container-title":"The Lancet","DOI":"10.1016/S0140-6736(02)08592-6","ISSN":"01406736","issue":"9318","language":"en","page":"1681-1685","source":"Crossref","title":"Violence against women in health-care institutions: an emerging problem","title-short":"Violence against women in health-care institutions","volume":"359","author":[{"family":"Oliveira","given":"Ana Flávia Pires Lucas","non-dropping-particle":"d'"},{"family":"Diniz","given":"Simone Grilo"},{"family":"Schraiber","given":"Lilia Blima"}],"issued":{"date-parts":[["2002",5]]}}}],"schema":"https://github.com/citation-style-language/schema/raw/master/csl-citation.json"} </w:instrText>
      </w:r>
      <w:r>
        <w:fldChar w:fldCharType="separate"/>
      </w:r>
      <w:r w:rsidRPr="00114CBC">
        <w:rPr>
          <w:rFonts w:ascii="Calibri" w:hAnsi="Calibri" w:cs="Calibri"/>
          <w:szCs w:val="24"/>
          <w:lang w:val="en-GB"/>
        </w:rPr>
        <w:t>d’Oliveira, Diniz, et Schraiber, « Violence against Women in Health-Care Institutions ».</w:t>
      </w:r>
      <w:r>
        <w:fldChar w:fldCharType="end"/>
      </w:r>
    </w:p>
  </w:footnote>
  <w:footnote w:id="11">
    <w:p w14:paraId="0CC82626" w14:textId="059DE90B" w:rsidR="00BD4CD3" w:rsidRPr="006E2AC9" w:rsidRDefault="00BD4CD3">
      <w:pPr>
        <w:pStyle w:val="Notedebasdepage"/>
        <w:rPr>
          <w:lang w:val="en-GB"/>
        </w:rPr>
      </w:pPr>
      <w:r w:rsidRPr="00E11A63">
        <w:rPr>
          <w:rStyle w:val="Appelnotedebasdep"/>
        </w:rPr>
        <w:footnoteRef/>
      </w:r>
      <w:r w:rsidRPr="006827E1">
        <w:rPr>
          <w:lang w:val="en-GB"/>
        </w:rPr>
        <w:t xml:space="preserve"> </w:t>
      </w:r>
      <w:r>
        <w:fldChar w:fldCharType="begin"/>
      </w:r>
      <w:r>
        <w:rPr>
          <w:lang w:val="en-GB"/>
        </w:rPr>
        <w:instrText xml:space="preserve"> ADDIN ZOTERO_ITEM CSL_CITATION {"citationID":"WZ8auxhG","properties":{"formattedCitation":"Diana Bowser et Kathleen Hill, \\uc0\\u171{}\\uc0\\u160{}Exploring Evidence for Disrespect and Abuse in Facility-Based Childbirth\\uc0\\u160{}\\uc0\\u187{}, Report of a Landscape Analysis (Harvard School of Public Health, 2010); Lynn P Freedman et al., \\uc0\\u171{}\\uc0\\u160{}Defining Disrespect and Abuse of Women in Childbirth: A Research, Policy and Rights Agenda\\uc0\\u160{}\\uc0\\u187{}, {\\i{}Bulletin of the World Health Organization} 92, n\\super o\\nosupersub{} 12 (1 d\\uc0\\u233{}cembre 2014): 915\\uc0\\u8209{}17, https://doi.org/10.2471/BLT.14.137869; OMS, \\uc0\\u171{}\\uc0\\u160{}La pr\\uc0\\u233{}vention et l\\uc0\\u8217{}\\uc0\\u233{}limination du manque de respect et des mauvais traitements lors de l\\uc0\\u8217{}accouchement dans des \\uc0\\u233{}tablissements de soins\\uc0\\u160{}\\uc0\\u187{} (Geneve: World Health Organization, 2014), https://www.who.int/reproductivehealth/topics/maternal_perinatal/statement-childbirth/fr/.","plainCitation":"Diana Bowser et Kathleen Hill, « Exploring Evidence for Disrespect and Abuse in Facility-Based Childbirth », Report of a Landscape Analysis (Harvard School of Public Health, 2010); Lynn P Freedman et al., « Defining Disrespect and Abuse of Women in Childbirth: A Research, Policy and Rights Agenda », Bulletin of the World Health Organization 92, no 12 (1 décembre 2014): 915</w:instrText>
      </w:r>
      <w:r>
        <w:rPr>
          <w:rFonts w:ascii="Cambria Math" w:hAnsi="Cambria Math" w:cs="Cambria Math"/>
          <w:lang w:val="en-GB"/>
        </w:rPr>
        <w:instrText>‑</w:instrText>
      </w:r>
      <w:r>
        <w:rPr>
          <w:lang w:val="en-GB"/>
        </w:rPr>
        <w:instrText xml:space="preserve">17, https://doi.org/10.2471/BLT.14.137869; OMS, </w:instrText>
      </w:r>
      <w:r>
        <w:rPr>
          <w:rFonts w:ascii="Calibri" w:hAnsi="Calibri" w:cs="Calibri"/>
          <w:lang w:val="en-GB"/>
        </w:rPr>
        <w:instrText>« </w:instrText>
      </w:r>
      <w:r>
        <w:rPr>
          <w:lang w:val="en-GB"/>
        </w:rPr>
        <w:instrText>La pr</w:instrText>
      </w:r>
      <w:r>
        <w:rPr>
          <w:rFonts w:ascii="Calibri" w:hAnsi="Calibri" w:cs="Calibri"/>
          <w:lang w:val="en-GB"/>
        </w:rPr>
        <w:instrText>é</w:instrText>
      </w:r>
      <w:r>
        <w:rPr>
          <w:lang w:val="en-GB"/>
        </w:rPr>
        <w:instrText>vention et l</w:instrText>
      </w:r>
      <w:r>
        <w:rPr>
          <w:rFonts w:ascii="Calibri" w:hAnsi="Calibri" w:cs="Calibri"/>
          <w:lang w:val="en-GB"/>
        </w:rPr>
        <w:instrText>’é</w:instrText>
      </w:r>
      <w:r>
        <w:rPr>
          <w:lang w:val="en-GB"/>
        </w:rPr>
        <w:instrText xml:space="preserve">limination du manque de respect et des mauvais traitements lors de l’accouchement dans des établissements de soins » (Geneve: World Health Organization, 2014), https://www.who.int/reproductivehealth/topics/maternal_perinatal/statement-childbirth/fr/.","noteIndex":11},"citationItems":[{"id":6029,"uris":["http://zotero.org/users/1644227/items/EWH6ZIVT"],"uri":["http://zotero.org/users/1644227/items/EWH6ZIVT"],"itemData":{"id":6029,"type":"report","collection-title":"Report of a Landscape Analysis","event-place":"Harvard School of Public Health","language":"en","page":"57","publisher-place":"Harvard School of Public Health","source":"Zotero","title":"Exploring Evidence for Disrespect and Abuse in Facility-Based Childbirth","author":[{"family":"Bowser","given":"Diana"},{"family":"Hill","given":"Kathleen"}],"issued":{"date-parts":[["2010"]]}},"label":"page"},{"id":6031,"uris":["http://zotero.org/users/1644227/items/293L4SUN"],"uri":["http://zotero.org/users/1644227/items/293L4SUN"],"itemData":{"id":6031,"type":"article-journal","container-title":"Bulletin of the World Health Organization","DOI":"10.2471/BLT.14.137869","ISSN":"0042-9686","issue":"12","language":"en","page":"915-917","source":"Crossref","title":"Defining disrespect and abuse of women in childbirth: a research, policy and rights agenda","title-short":"Defining disrespect and abuse of women in childbirth","volume":"92","author":[{"family":"Freedman","given":"Lynn P"},{"family":"Ramsey","given":"Kate"},{"family":"Abuya","given":"Timothy"},{"family":"Bellows","given":"Ben"},{"family":"Ndwiga","given":"Charity"},{"family":"Warren","given":"Charlotte E"},{"family":"Kujawski","given":"Stephanie"},{"family":"Moyo","given":"Wema"},{"family":"Kruk","given":"Margaret E"},{"family":"Mbaruku","given":"Godfrey"}],"issued":{"date-parts":[["2014",12,1]]}},"label":"page"},{"id":6980,"uris":["http://zotero.org/users/1644227/items/352HQZUR"],"uri":["http://zotero.org/users/1644227/items/352HQZUR"],"itemData":{"id":6980,"type":"report","abstract":"mauvais traitements subis par les femmes lors de l’accouchements en établissement de soins font état d’agressions physiques, d’humiliations graves, d’agressions verbales, de procédures médicales imposées de manière coercitive","event-place":"Geneve","note":"publisher: World Health Organization","publisher-place":"Geneve","title":"La prévention et l’élimination du manque de respect et des mauvais traitements lors de l’accouchement dans des établissements de soins","URL":"https://www.who.int/reproductivehealth/topics/maternal_perinatal/statement-childbirth/fr/","author":[{"family":"OMS","given":""}],"accessed":{"date-parts":[["2020",10,28]]},"issued":{"date-parts":[["2014"]]}},"label":"page"}],"schema":"https://github.com/citation-style-language/schema/raw/master/csl-citation.json"} </w:instrText>
      </w:r>
      <w:r>
        <w:fldChar w:fldCharType="separate"/>
      </w:r>
      <w:r w:rsidRPr="00114CBC">
        <w:rPr>
          <w:rFonts w:ascii="Calibri" w:hAnsi="Calibri" w:cs="Calibri"/>
          <w:szCs w:val="24"/>
          <w:lang w:val="en-GB"/>
        </w:rPr>
        <w:t xml:space="preserve">Diana Bowser et Kathleen Hill, « Exploring Evidence for Disrespect and Abuse in Facility-Based Childbirth », Report of a Landscape Analysis (Harvard School of Public Health, 2010); Lynn P Freedman et al., « Defining Disrespect and Abuse of Women in Childbirth: A Research, Policy and Rights Agenda », </w:t>
      </w:r>
      <w:r w:rsidRPr="00114CBC">
        <w:rPr>
          <w:rFonts w:ascii="Calibri" w:hAnsi="Calibri" w:cs="Calibri"/>
          <w:i/>
          <w:iCs/>
          <w:szCs w:val="24"/>
          <w:lang w:val="en-GB"/>
        </w:rPr>
        <w:t>Bulletin of the World Health Organization</w:t>
      </w:r>
      <w:r w:rsidRPr="00114CBC">
        <w:rPr>
          <w:rFonts w:ascii="Calibri" w:hAnsi="Calibri" w:cs="Calibri"/>
          <w:szCs w:val="24"/>
          <w:lang w:val="en-GB"/>
        </w:rPr>
        <w:t xml:space="preserve"> 92, n</w:t>
      </w:r>
      <w:r w:rsidRPr="00114CBC">
        <w:rPr>
          <w:rFonts w:ascii="Calibri" w:hAnsi="Calibri" w:cs="Calibri"/>
          <w:szCs w:val="24"/>
          <w:vertAlign w:val="superscript"/>
          <w:lang w:val="en-GB"/>
        </w:rPr>
        <w:t>o</w:t>
      </w:r>
      <w:r w:rsidRPr="00114CBC">
        <w:rPr>
          <w:rFonts w:ascii="Calibri" w:hAnsi="Calibri" w:cs="Calibri"/>
          <w:szCs w:val="24"/>
          <w:lang w:val="en-GB"/>
        </w:rPr>
        <w:t xml:space="preserve"> 12 (1 décembre 2014): 915‑17, https://doi.org/10.2471/BLT.14.137869; OMS, « La prévention et l’élimination du manque de respect et des mauvais traitements lors de l’accouchement dans des établissements de soins » (Geneve: World Health Organization, 2014), https://www.who.int/reproductivehealth/topics/maternal_perinatal/statement-childbirth/fr/.</w:t>
      </w:r>
      <w:r>
        <w:fldChar w:fldCharType="end"/>
      </w:r>
    </w:p>
  </w:footnote>
  <w:footnote w:id="12">
    <w:p w14:paraId="756C27BD" w14:textId="6E018796" w:rsidR="00BD4CD3" w:rsidRPr="006827E1" w:rsidRDefault="00BD4CD3">
      <w:pPr>
        <w:pStyle w:val="Notedebasdepage"/>
        <w:rPr>
          <w:lang w:val="en-GB"/>
        </w:rPr>
      </w:pPr>
      <w:r w:rsidRPr="00E11A63">
        <w:rPr>
          <w:rStyle w:val="Appelnotedebasdep"/>
        </w:rPr>
        <w:footnoteRef/>
      </w:r>
      <w:r w:rsidRPr="006827E1">
        <w:rPr>
          <w:lang w:val="en-GB"/>
        </w:rPr>
        <w:t xml:space="preserve"> </w:t>
      </w:r>
      <w:r>
        <w:fldChar w:fldCharType="begin"/>
      </w:r>
      <w:r>
        <w:rPr>
          <w:lang w:val="en-GB"/>
        </w:rPr>
        <w:instrText xml:space="preserve"> ADDIN ZOTERO_ITEM CSL_CITATION {"citationID":"5u6zxOJ4","properties":{"formattedCitation":"M. A. Bohren et al., \\uc0\\u171{}\\uc0\\u160{}Methodological development of tools to measure how women are treated during facility-based childbirth in four countries: labor observation and community survey\\uc0\\u160{}\\uc0\\u187{}, {\\i{}BMC Medical Research Methodology} 18, n\\super o\\nosupersub{} 1 (15 novembre 2018): 132, https://doi.org/10.1186/s12874-018-0603-x.","plainCitation":"M. A. Bohren et al., « Methodological development of tools to measure how women are treated during facility-based childbirth in four countries: labor observation and community survey », BMC Medical Research Methodology 18, no 1 (15 novembre 2018): 132, https://doi.org/10.1186/s12874-018-0603-x.","noteIndex":12},"citationItems":[{"id":4962,"uris":["http://zotero.org/users/1644227/items/FD8MZBZB"],"uri":["http://zotero.org/users/1644227/items/FD8MZBZB"],"itemData":{"id":4962,"type":"article-journal","abstract":"Efforts to improve maternal health are increasingly focused on improving the quality of care provided to women at health facilities, including the promotion of respectful care and eliminating mistreatment of women during childbirth. A WHO-led multi-country research project aims to develop and validate two tools (labor observation and community survey) to measure how women are treated during facility-based childbirth. This paper describes the development process for these measurement tools, and how they were implemented in a multi-country study (Ghana, Guinea, Myanmar and Nigeria).","container-title":"BMC Medical Research Methodology","DOI":"10.1186/s12874-018-0603-x","ISSN":"1471-2288","issue":"1","journalAbbreviation":"BMC Medical Research Methodology","page":"132","source":"BioMed Central","title":"Methodological development of tools to measure how women are treated during facility-based childbirth in four countries: labor observation and community survey","title-short":"Methodological development of tools to measure how women are treated during facility-based childbirth in four countries","volume":"18","author":[{"family":"Bohren","given":"M. A."},{"family":"Vogel","given":"Joshua P."},{"family":"Fawole","given":"Bukola"},{"family":"Maya","given":"Ernest T."},{"family":"Maung","given":"Thae Maung"},{"family":"Baldé","given":"Mamadou Diouldé"},{"family":"Oyeniran","given":"Agnes A."},{"family":"Ogunlade","given":"Modupe"},{"family":"Adu-Bonsaffoh","given":"Kwame"},{"family":"Mon","given":"Nwe Oo"},{"family":"Diallo","given":"Boubacar Alpha"},{"family":"Bangoura","given":"Abou"},{"family":"Adanu","given":"Richard"},{"family":"Landoulsi","given":"Sihem"},{"family":"Gülmezoglu","given":"A. Metin"},{"family":"Tunçalp","given":"Özge"}],"issued":{"date-parts":[["2018",11,15]]}}}],"schema":"https://github.com/citation-style-language/schema/raw/master/csl-citation.json"} </w:instrText>
      </w:r>
      <w:r>
        <w:fldChar w:fldCharType="separate"/>
      </w:r>
      <w:r w:rsidRPr="00114CBC">
        <w:rPr>
          <w:rFonts w:ascii="Calibri" w:hAnsi="Calibri" w:cs="Calibri"/>
          <w:szCs w:val="24"/>
          <w:lang w:val="en-GB"/>
        </w:rPr>
        <w:t xml:space="preserve">M. A. Bohren et al., « Methodological development of tools to measure how women are treated during facility-based childbirth in four countries: labor observation and community survey », </w:t>
      </w:r>
      <w:r w:rsidRPr="00114CBC">
        <w:rPr>
          <w:rFonts w:ascii="Calibri" w:hAnsi="Calibri" w:cs="Calibri"/>
          <w:i/>
          <w:iCs/>
          <w:szCs w:val="24"/>
          <w:lang w:val="en-GB"/>
        </w:rPr>
        <w:t>BMC Medical Research Methodology</w:t>
      </w:r>
      <w:r w:rsidRPr="00114CBC">
        <w:rPr>
          <w:rFonts w:ascii="Calibri" w:hAnsi="Calibri" w:cs="Calibri"/>
          <w:szCs w:val="24"/>
          <w:lang w:val="en-GB"/>
        </w:rPr>
        <w:t xml:space="preserve"> 18, n</w:t>
      </w:r>
      <w:r w:rsidRPr="00114CBC">
        <w:rPr>
          <w:rFonts w:ascii="Calibri" w:hAnsi="Calibri" w:cs="Calibri"/>
          <w:szCs w:val="24"/>
          <w:vertAlign w:val="superscript"/>
          <w:lang w:val="en-GB"/>
        </w:rPr>
        <w:t>o</w:t>
      </w:r>
      <w:r w:rsidRPr="00114CBC">
        <w:rPr>
          <w:rFonts w:ascii="Calibri" w:hAnsi="Calibri" w:cs="Calibri"/>
          <w:szCs w:val="24"/>
          <w:lang w:val="en-GB"/>
        </w:rPr>
        <w:t xml:space="preserve"> 1 (15 novembre 2018): 132, https://doi.org/10.1186/s12874-018-0603-x.</w:t>
      </w:r>
      <w:r>
        <w:fldChar w:fldCharType="end"/>
      </w:r>
    </w:p>
  </w:footnote>
  <w:footnote w:id="13">
    <w:p w14:paraId="513D76BE" w14:textId="59188C62" w:rsidR="00BD4CD3" w:rsidRPr="00107FF8" w:rsidRDefault="00BD4CD3">
      <w:pPr>
        <w:pStyle w:val="Notedebasdepage"/>
        <w:rPr>
          <w:lang w:val="en-GB"/>
        </w:rPr>
      </w:pPr>
      <w:r w:rsidRPr="00E11A63">
        <w:rPr>
          <w:rStyle w:val="Appelnotedebasdep"/>
        </w:rPr>
        <w:footnoteRef/>
      </w:r>
      <w:r w:rsidRPr="006827E1">
        <w:rPr>
          <w:lang w:val="en-GB"/>
        </w:rPr>
        <w:t xml:space="preserve"> </w:t>
      </w:r>
      <w:r>
        <w:fldChar w:fldCharType="begin"/>
      </w:r>
      <w:r>
        <w:rPr>
          <w:lang w:val="en-GB"/>
        </w:rPr>
        <w:instrText xml:space="preserve"> ADDIN ZOTERO_ITEM CSL_CITATION {"citationID":"Mu6NoENd","properties":{"formattedCitation":"Michelle Sadler et al., \\uc0\\u171{}\\uc0\\u160{}Moving beyond Disrespect and Abuse: Addressing the Structural Dimensions of Obstetric Violence\\uc0\\u160{}\\uc0\\u187{}, {\\i{}Reproductive Health Matters} 24, n\\super o\\nosupersub{} 47 (mai 2016): 47\\uc0\\u8209{}55, https://doi.org/10.1016/j.rhm.2016.04.002.","plainCitation":"Michelle Sadler et al., « Moving beyond Disrespect and Abuse: Addressing the Structural Dimensions of Obstetric Violence », Reproductive Health Matters 24, no 47 (mai 2016): 47</w:instrText>
      </w:r>
      <w:r>
        <w:rPr>
          <w:rFonts w:ascii="Cambria Math" w:hAnsi="Cambria Math" w:cs="Cambria Math"/>
          <w:lang w:val="en-GB"/>
        </w:rPr>
        <w:instrText>‑</w:instrText>
      </w:r>
      <w:r>
        <w:rPr>
          <w:lang w:val="en-GB"/>
        </w:rPr>
        <w:instrText xml:space="preserve">55, https://doi.org/10.1016/j.rhm.2016.04.002.","noteIndex":13},"citationItems":[{"id":931,"uris":["http://zotero.org/users/1644227/items/4PH757VK"],"uri":["http://zotero.org/users/1644227/items/4PH757VK"],"itemData":{"id":931,"type":"article-journal","container-title":"Reproductive Health Matters","DOI":"10.1016/j.rhm.2016.04.002","ISSN":"09688080","issue":"47","language":"en","page":"47-55","source":"CrossRef","title":"Moving beyond disrespect and abuse: addressing the structural dimensions of obstetric violence","title-short":"Moving beyond disrespect and abuse","volume":"24","author":[{"family":"Sadler","given":"Michelle"},{"family":"Santos","given":"Mário JDS"},{"family":"Ruiz-Berdún","given":"Dolores"},{"family":"Rojas","given":"Gonzalo Leiva"},{"family":"Skoko","given":"Elena"},{"family":"Gillen","given":"Patricia"},{"family":"Clausen","given":"Jette A"}],"issued":{"date-parts":[["2016",5]]}}}],"schema":"https://github.com/citation-style-language/schema/raw/master/csl-citation.json"} </w:instrText>
      </w:r>
      <w:r>
        <w:fldChar w:fldCharType="separate"/>
      </w:r>
      <w:r w:rsidRPr="00114CBC">
        <w:rPr>
          <w:rFonts w:ascii="Calibri" w:hAnsi="Calibri" w:cs="Calibri"/>
          <w:szCs w:val="24"/>
          <w:lang w:val="en-GB"/>
        </w:rPr>
        <w:t xml:space="preserve">Michelle Sadler et al., « Moving beyond Disrespect and Abuse: Addressing the Structural Dimensions of Obstetric Violence », </w:t>
      </w:r>
      <w:r w:rsidRPr="00114CBC">
        <w:rPr>
          <w:rFonts w:ascii="Calibri" w:hAnsi="Calibri" w:cs="Calibri"/>
          <w:i/>
          <w:iCs/>
          <w:szCs w:val="24"/>
          <w:lang w:val="en-GB"/>
        </w:rPr>
        <w:t>Reproductive Health Matters</w:t>
      </w:r>
      <w:r w:rsidRPr="00114CBC">
        <w:rPr>
          <w:rFonts w:ascii="Calibri" w:hAnsi="Calibri" w:cs="Calibri"/>
          <w:szCs w:val="24"/>
          <w:lang w:val="en-GB"/>
        </w:rPr>
        <w:t xml:space="preserve"> 24, n</w:t>
      </w:r>
      <w:r w:rsidRPr="00114CBC">
        <w:rPr>
          <w:rFonts w:ascii="Calibri" w:hAnsi="Calibri" w:cs="Calibri"/>
          <w:szCs w:val="24"/>
          <w:vertAlign w:val="superscript"/>
          <w:lang w:val="en-GB"/>
        </w:rPr>
        <w:t>o</w:t>
      </w:r>
      <w:r w:rsidRPr="00114CBC">
        <w:rPr>
          <w:rFonts w:ascii="Calibri" w:hAnsi="Calibri" w:cs="Calibri"/>
          <w:szCs w:val="24"/>
          <w:lang w:val="en-GB"/>
        </w:rPr>
        <w:t xml:space="preserve"> 47 (mai 2016): 47‑55, https://doi.org/10.1016/j.rhm.2016.04.002.</w:t>
      </w:r>
      <w:r>
        <w:fldChar w:fldCharType="end"/>
      </w:r>
    </w:p>
  </w:footnote>
  <w:footnote w:id="14">
    <w:p w14:paraId="3E01453E" w14:textId="261E1F83" w:rsidR="00BD4CD3" w:rsidRPr="005E36FA" w:rsidRDefault="00BD4CD3" w:rsidP="00E05EC7">
      <w:pPr>
        <w:pStyle w:val="Notedebasdepage"/>
      </w:pPr>
      <w:r w:rsidRPr="00E11A63">
        <w:rPr>
          <w:rStyle w:val="Appelnotedebasdep"/>
        </w:rPr>
        <w:footnoteRef/>
      </w:r>
      <w:r w:rsidRPr="005E36FA">
        <w:t xml:space="preserve"> </w:t>
      </w:r>
      <w:r>
        <w:fldChar w:fldCharType="begin"/>
      </w:r>
      <w:r>
        <w:instrText xml:space="preserve"> ADDIN ZOTERO_ITEM CSL_CITATION {"citationID":"bSaUCYgj","properties":{"formattedCitation":"Dubravka \\uc0\\u352{}imonovi\\uc0\\u263{}, \\uc0\\u171{}\\uc0\\u160{}Adoption d\\uc0\\u8217{}une d\\uc0\\u233{}marche fond\\uc0\\u233{}e sur les droits de la personne dans la lutte contre les mauvais traitements et les violences inflig\\uc0\\u233{}s aux femmes dans les services de sant\\uc0\\u233{} procr\\uc0\\u233{}ative, en particulier les violences commises pendant l\\uc0\\u8217{}accouchement et les violences obst\\uc0\\u233{}tricales\\uc0\\u160{}\\uc0\\u187{} (Nations Unies, 11 juillet 2019).","plainCitation":"Dubravka Šimonović, « Adoption d’une démarche fondée sur les droits de la personne dans la lutte contre les mauvais traitements et les violences infligés aux femmes dans les services de santé procréative, en particulier les violences commises pendant l’accouchement et les violences obstétricales » (Nations Unies, 11 juillet 2019).","noteIndex":14},"citationItems":[{"id":"XirzSxWp/q3VZmTK6","uris":["http://zotero.org/users/4504888/items/MQ353D3C"],"uri":["http://zotero.org/users/4504888/items/MQ353D3C"],"itemData":{"id":401,"type":"report","publisher":"Nations Unies","title":"Adoption d’une démarche fondée sur les droits de la personne dans la lutte contre les mauvais traitements et les violences infligés aux femmes dans les services de santé procréative, en particulier les violences commises pendant l’accouchement et les violences obstétricales","author":[{"family":"Dubravka Šimonović","given":""}],"issued":{"date-parts":[["2019",7,11]]}}}],"schema":"https://github.com/citation-style-language/schema/raw/master/csl-citation.json"} </w:instrText>
      </w:r>
      <w:r>
        <w:fldChar w:fldCharType="separate"/>
      </w:r>
      <w:r w:rsidRPr="00114CBC">
        <w:rPr>
          <w:rFonts w:ascii="Calibri" w:hAnsi="Calibri" w:cs="Calibri"/>
          <w:szCs w:val="24"/>
        </w:rPr>
        <w:t>Dubravka Šimonović, « Adoption d’une démarche fondée sur les droits de la personne dans la lutte contre les mauvais traitements et les violences infligés aux femmes dans les services de santé procréative, en particulier les violences commises pendant l’accouchement et les violences obstétricales » (Nations Unies, 11 juillet 2019).</w:t>
      </w:r>
      <w:r>
        <w:fldChar w:fldCharType="end"/>
      </w:r>
    </w:p>
  </w:footnote>
  <w:footnote w:id="15">
    <w:p w14:paraId="51CA3CC8" w14:textId="3C7AE59B" w:rsidR="00BD4CD3" w:rsidRDefault="00BD4CD3">
      <w:pPr>
        <w:pStyle w:val="Notedebasdepage"/>
      </w:pPr>
      <w:r w:rsidRPr="00E11A63">
        <w:rPr>
          <w:rStyle w:val="Appelnotedebasdep"/>
        </w:rPr>
        <w:footnoteRef/>
      </w:r>
      <w:r>
        <w:t xml:space="preserve"> </w:t>
      </w:r>
      <w:r>
        <w:fldChar w:fldCharType="begin"/>
      </w:r>
      <w:r>
        <w:instrText xml:space="preserve"> ADDIN ZOTERO_ITEM CSL_CITATION {"citationID":"Mibv0pDK","properties":{"formattedCitation":"Jhpiego, \\uc0\\u171{}\\uc0\\u160{}Les soins de maternit\\uc0\\u233{} respectueux\\uc0\\u160{}\\uc0\\u187{}, 2017, 4; OMS, \\uc0\\u171{}\\uc0\\u160{}Recommandations de l\\uc0\\u8217{}OMS sur les soins intrapartum pour une exp\\uc0\\u233{}rience positive de l\\uc0\\u8217{}accouchement\\uc0\\u160{}\\uc0\\u187{} (World Health Organization, 2018), http://www.who.int/reproductivehealth/publications/intrapartum-care-guidelines/fr/.","plainCitation":"Jhpiego, « Les soins de maternité respectueux », 2017, 4; OMS, « Recommandations de l’OMS sur les soins intrapartum pour une expérience positive de l’accouchement » (World Health Organization, 2018), http://www.who.int/reproductivehealth/publications/intrapartum-care-guidelines/fr/.","noteIndex":15},"citationItems":[{"id":7050,"uris":["http://zotero.org/users/1644227/items/PK95IMXY"],"uri":["http://zotero.org/users/1644227/items/PK95IMXY"],"itemData":{"id":7050,"type":"article-journal","language":"fr","page":"4","source":"Zotero","title":"Les soins de maternité respectueux","author":[{"family":"Jhpiego","given":""}],"issued":{"date-parts":[["2017"]]}},"label":"page"},{"id":6983,"uris":["http://zotero.org/users/1644227/items/JB5YIYQR"],"uri":["http://zotero.org/users/1644227/items/JB5YIYQR"],"itemData":{"id":6983,"type":"report","note":"publisher: World Health Organization","title":"Recommandations de l’OMS sur les soins intrapartum pour une expérience positive de l’accouchement","URL":"http://www.who.int/reproductivehealth/publications/intrapartum-care-guidelines/fr/","author":[{"family":"OMS","given":""}],"accessed":{"date-parts":[["2020",10,28]]},"issued":{"date-parts":[["2018"]]}},"label":"page"}],"schema":"https://github.com/citation-style-language/schema/raw/master/csl-citation.json"} </w:instrText>
      </w:r>
      <w:r>
        <w:fldChar w:fldCharType="separate"/>
      </w:r>
      <w:r w:rsidRPr="00114CBC">
        <w:rPr>
          <w:rFonts w:ascii="Calibri" w:hAnsi="Calibri" w:cs="Calibri"/>
          <w:szCs w:val="24"/>
        </w:rPr>
        <w:t>Jhpiego, « Les soins de maternité respectueux », 2017, 4; OMS, « Recommandations de l’OMS sur les soins intrapartum pour une expérience positive de l’accouchement » (World Health Organization, 2018), http://www.who.int/reproductivehealth/publications/intrapartum-care-guidelines/fr/.</w:t>
      </w:r>
      <w:r>
        <w:fldChar w:fldCharType="end"/>
      </w:r>
    </w:p>
  </w:footnote>
  <w:footnote w:id="16">
    <w:p w14:paraId="568A95A7" w14:textId="277FF982" w:rsidR="00BD4CD3" w:rsidRPr="00654ECE" w:rsidRDefault="00BD4CD3" w:rsidP="00E05EC7">
      <w:pPr>
        <w:pStyle w:val="Notedebasdepage"/>
        <w:rPr>
          <w:lang w:val="en-US"/>
        </w:rPr>
      </w:pPr>
      <w:r w:rsidRPr="00E11A63">
        <w:rPr>
          <w:rStyle w:val="Appelnotedebasdep"/>
        </w:rPr>
        <w:footnoteRef/>
      </w:r>
      <w:r>
        <w:t xml:space="preserve"> </w:t>
      </w:r>
      <w:r>
        <w:fldChar w:fldCharType="begin"/>
      </w:r>
      <w:r>
        <w:instrText xml:space="preserve"> ADDIN ZOTERO_ITEM CSL_CITATION {"citationID":"sUNQ6cUc","properties":{"formattedCitation":"Cl\\uc0\\u233{}mence Schantz et al., \\uc0\\u171{}\\uc0\\u160{}Caesarean Section in Benin and Mali: Increased Recourse to Technology Due to Suffering and under-Resourced Facilities\\uc0\\u160{}\\uc0\\u187{}, {\\i{}Reproductive Biomedicine &amp; Society Online} 10 (janvier 2020): 10\\uc0\\u8209{}18, https://doi.org/10.1016/j.rbms.2019.12.001.","plainCitation":"Clémence Schantz et al., « Caesarean Section in Benin and Mali: Increased Recourse to Technology Due to Suffering and under-Resourced Facilities », Reproductive Biomedicine &amp; Society Online 10 (janvier 2020): 10</w:instrText>
      </w:r>
      <w:r>
        <w:rPr>
          <w:rFonts w:ascii="Cambria Math" w:hAnsi="Cambria Math" w:cs="Cambria Math"/>
        </w:rPr>
        <w:instrText>‑</w:instrText>
      </w:r>
      <w:r>
        <w:instrText xml:space="preserve">18, https://doi.org/10.1016/j.rbms.2019.12.001.","noteIndex":16},"citationItems":[{"id":6146,"uris":["http://zotero.org/users/1644227/items/LL97C3IE"],"uri":["http://zotero.org/users/1644227/items/LL97C3IE"],"itemData":{"id":6146,"type":"article-journal","abstract":"In line with policies to combat maternal mortality, the medicalization of childbirth is increasing in low-income countries, while access to healthcare services remains difficult for many women. High caesarean section rates have been documented recently in hospitals in Mali and Benin, illustrating an a-priori paradoxical situation, compared with low caesarean section rates in the population. Through a qualitative approach, this article aims to describe the practice of caesarean section in maternity wards in Bamako and Cotonou. Workshops with obstetricians and midwives; participant observation inside labour rooms; and in-depth interviews with caregivers, patients and policy makers have indicated increased recourse to caesarean section due to women’s and caregivers’ suffering and under-resourced facilities. Within these procedures, two types of caesarean section were documented: ‘maternal distress caesarean section’ and ‘preventive caesarean section’. The main reasons for these caesarean sections are maternal fear and pain, and </w:instrText>
      </w:r>
      <w:r w:rsidRPr="00654ECE">
        <w:rPr>
          <w:lang w:val="en-US"/>
        </w:rPr>
        <w:instrText xml:space="preserve">a lack of resources. Inadequately resourced facilities lead to staff suffering and ethical breakdowns, and encourage the inappropriate use of technology. The policy of access to free caesarean section procedures exacerbates the issue of non-medically-justified caesarean sections in these countries. The overuse of caesarean section is particularly alarming in countries with high fertility as it constitutes a danger to both mothers and babies in the short and long term. Currently, conditions are in place in Benin and Mali for an increase in non-medically-justified caesarean sections. In the short term, such an increase could constitute a new burden for these two sub-Saharan countries, where maternal mortality is high.","container-title":"Reproductive Biomedicine &amp; Society Online","DOI":"10.1016/j.rbms.2019.12.001","ISSN":"24056618","language":"en","page":"10-18","source":"Crossref","title":"Caesarean section in Benin and Mali: increased recourse to technology due to suffering and under-resourced facilities","title-short":"Caesarean section in Benin and Mali","volume":"10","author":[{"family":"Schantz","given":"Clémence"},{"family":"Aboubakar","given":"Moufalilou"},{"family":"Traoré","given":"Abou Bakary"},{"family":"Ravit","given":"Marion"},{"family":"Loenzien","given":"Myriam","non-dropping-particle":"de"},{"family":"Dumont","given":"Alexandre"}],"issued":{"date-parts":[["2020",1]]}}}],"schema":"https://github.com/citation-style-language/schema/raw/master/csl-citation.json"} </w:instrText>
      </w:r>
      <w:r>
        <w:fldChar w:fldCharType="separate"/>
      </w:r>
      <w:r w:rsidRPr="00654ECE">
        <w:rPr>
          <w:rFonts w:ascii="Calibri" w:hAnsi="Calibri" w:cs="Calibri"/>
          <w:szCs w:val="24"/>
          <w:lang w:val="en-US"/>
        </w:rPr>
        <w:t xml:space="preserve">Clémence Schantz et al., « Caesarean Section in Benin and Mali: Increased Recourse to Technology Due to Suffering and under-Resourced Facilities », </w:t>
      </w:r>
      <w:r w:rsidRPr="00654ECE">
        <w:rPr>
          <w:rFonts w:ascii="Calibri" w:hAnsi="Calibri" w:cs="Calibri"/>
          <w:i/>
          <w:iCs/>
          <w:szCs w:val="24"/>
          <w:lang w:val="en-US"/>
        </w:rPr>
        <w:t>Reproductive Biomedicine &amp; Society Online</w:t>
      </w:r>
      <w:r w:rsidRPr="00654ECE">
        <w:rPr>
          <w:rFonts w:ascii="Calibri" w:hAnsi="Calibri" w:cs="Calibri"/>
          <w:szCs w:val="24"/>
          <w:lang w:val="en-US"/>
        </w:rPr>
        <w:t xml:space="preserve"> 10 (janvier 2020): 10‑18, https://doi.org/10.1016/j.rbms.2019.12.001.</w:t>
      </w:r>
      <w:r>
        <w:fldChar w:fldCharType="end"/>
      </w:r>
    </w:p>
  </w:footnote>
  <w:footnote w:id="17">
    <w:p w14:paraId="1D9C0F12" w14:textId="1BAA1C00" w:rsidR="00BD4CD3" w:rsidRPr="006F57A7" w:rsidRDefault="00BD4CD3">
      <w:pPr>
        <w:pStyle w:val="Notedebasdepage"/>
      </w:pPr>
      <w:r w:rsidRPr="00E11A63">
        <w:rPr>
          <w:rStyle w:val="Appelnotedebasdep"/>
        </w:rPr>
        <w:footnoteRef/>
      </w:r>
      <w:r w:rsidRPr="006F57A7">
        <w:t xml:space="preserve"> </w:t>
      </w:r>
      <w:r>
        <w:fldChar w:fldCharType="begin"/>
      </w:r>
      <w:r>
        <w:instrText xml:space="preserve"> ADDIN ZOTERO_ITEM CSL_CITATION {"citationID":"UaNlwUDF","properties":{"formattedCitation":"OMS, \\uc0\\u171{}\\uc0\\u160{}La pr\\uc0\\u233{}vention et l\\uc0\\u8217{}\\uc0\\u233{}limination du manque de respect et des mauvais traitements lors de l\\uc0\\u8217{}accouchement dans des \\uc0\\u233{}tablissements de soins\\uc0\\u160{}\\uc0\\u187{}; OMS, \\uc0\\u171{}\\uc0\\u160{}Standards pour l\\uc0\\u8217{}am\\uc0\\u233{}lioration de la qualit\\uc0\\u233{} des soins maternels et n\\uc0\\u233{}onatals dans les \\uc0\\u233{}tablissements de sant\\uc0\\u233{}\\uc0\\u160{}\\uc0\\u187{} (Gen\\uc0\\u232{}ve, 2017); OMS, \\uc0\\u171{}\\uc0\\u160{}Recommandations de l\\uc0\\u8217{}OMS sur les soins intrapartum pour une exp\\uc0\\u233{}rience positive de l\\uc0\\u8217{}accouchement\\uc0\\u160{}\\uc0\\u187{}.","plainCitation":"OMS, « La prévention et l’élimination du manque de respect et des mauvais traitements lors de l’accouchement dans des établissements de soins »; OMS, « Standards pour l’amélioration de la qualité des soins maternels et néonatals dans les établissements de santé » (Genève, 2017); OMS, « Recommandations de l’OMS sur les soins intrapartum pour une expérience positive de l’accouchement ».","noteIndex":17},"citationItems":[{"id":6980,"uris":["http://zotero.org/users/1644227/items/352HQZUR"],"uri":["http://zotero.org/users/1644227/items/352HQZUR"],"itemData":{"id":6980,"type":"report","abstract":"mauvais traitements subis par les femmes lors de l’accouchements en établissement de soins font état d’agressions physiques, d’humiliations graves, d’agressions verbales, de procédures médicales imposées de manière coercitive","event-place":"Geneve","note":"publisher: World Health Organization","publisher-place":"Geneve","title":"La prévention et l’élimination du manque de respect et des mauvais traitements lors de l’accouchement dans des établissements de soins","URL":"https://www.who.int/reproductivehealth/topics/maternal_perinatal/statement-childbirth/fr/","author":[{"family":"OMS","given":""}],"accessed":{"date-parts":[["2020",10,28]]},"issued":{"date-parts":[["2014"]]}},"label":"page"},{"id":7038,"uris":["http://zotero.org/users/1644227/items/P4WKN5BP"],"uri":["http://zotero.org/users/1644227/items/P4WKN5BP"],"itemData":{"id":7038,"type":"report","event-place":"Genève","page":"84","publisher-place":"Genève","title":"Standards pour l'amélioration de la qualité des soins maternels et néonatals dans les établissements de santé","author":[{"family":"OMS","given":""}],"issued":{"date-parts":[["2017"]]}},"label":"page"},{"id":6983,"uris":["http://zotero.org/users/1644227/items/JB5YIYQR"],"uri":["http://zotero.org/users/1644227/items/JB5YIYQR"],"itemData":{"id":6983,"type":"report","note":"publisher: World Health Organization","title":"Recommandations de l’OMS sur les soins intrapartum pour une expérience positive de l’accouchement","URL":"http://www.who.int/reproductivehealth/publications/intrapartum-care-guidelines/fr/","author":[{"family":"OMS","given":""}],"accessed":{"date-parts":[["2020",10,28]]},"issued":{"date-parts":[["2018"]]}},"label":"page"}],"schema":"https://github.com/citation-style-language/schema/raw/master/csl-citation.json"} </w:instrText>
      </w:r>
      <w:r>
        <w:fldChar w:fldCharType="separate"/>
      </w:r>
      <w:r w:rsidRPr="00114CBC">
        <w:rPr>
          <w:rFonts w:ascii="Calibri" w:hAnsi="Calibri" w:cs="Calibri"/>
          <w:szCs w:val="24"/>
        </w:rPr>
        <w:t>OMS, « La prévention et l’élimination du manque de respect et des mauvais traitements lors de l’accouchement dans des établissements de soins »; OMS, « Standards pour l’amélioration de la qualité des soins maternels et néonatals dans les établissements de santé » (Genève, 2017); OMS, « Recommandations de l’OMS sur les soins intrapartum pour une expérience positive de l’accouchement ».</w:t>
      </w:r>
      <w:r>
        <w:fldChar w:fldCharType="end"/>
      </w:r>
    </w:p>
  </w:footnote>
  <w:footnote w:id="18">
    <w:p w14:paraId="06FAF27F" w14:textId="77777777" w:rsidR="00BD4CD3" w:rsidRPr="00DE5330" w:rsidRDefault="00BD4CD3" w:rsidP="005525A5">
      <w:pPr>
        <w:pStyle w:val="Notedebasdepage"/>
        <w:jc w:val="both"/>
        <w:rPr>
          <w:rFonts w:cstheme="minorHAnsi"/>
        </w:rPr>
      </w:pPr>
      <w:r w:rsidRPr="00E11A63">
        <w:rPr>
          <w:rStyle w:val="Appelnotedebasdep"/>
        </w:rPr>
        <w:footnoteRef/>
      </w:r>
      <w:r w:rsidRPr="00DE5330">
        <w:rPr>
          <w:rFonts w:cstheme="minorHAnsi"/>
        </w:rPr>
        <w:t xml:space="preserve"> </w:t>
      </w:r>
      <w:r>
        <w:rPr>
          <w:rFonts w:cstheme="minorHAnsi"/>
        </w:rPr>
        <w:t>L</w:t>
      </w:r>
      <w:r w:rsidRPr="00DE5330">
        <w:rPr>
          <w:rFonts w:cstheme="minorHAnsi"/>
        </w:rPr>
        <w:t>a Convention sur l’élimination de toutes les formes de discrimination à l’égard des femmes (CEDAW, adoptée en 197</w:t>
      </w:r>
      <w:r w:rsidRPr="00B17C3B">
        <w:rPr>
          <w:rFonts w:cstheme="minorHAnsi"/>
        </w:rPr>
        <w:t>9 et entrée en vigueur en 1981), la Déclaration sur l’élimination de la violence contre les femmes (1993), adoptée par l’Assemblée générale de l’ONU suite à la conférence des droits humains à Vienne</w:t>
      </w:r>
      <w:r w:rsidRPr="00977586">
        <w:rPr>
          <w:rFonts w:cstheme="minorHAnsi"/>
        </w:rPr>
        <w:t xml:space="preserve">, le Protocole </w:t>
      </w:r>
      <w:r w:rsidRPr="004A19A9">
        <w:rPr>
          <w:rFonts w:cstheme="minorHAnsi"/>
        </w:rPr>
        <w:t>de Maputo</w:t>
      </w:r>
      <w:r w:rsidRPr="00DF10E9">
        <w:rPr>
          <w:rFonts w:cstheme="minorHAnsi"/>
        </w:rPr>
        <w:t xml:space="preserve"> relatif aux droits de la femme en Afrique</w:t>
      </w:r>
      <w:r w:rsidRPr="00812B3A">
        <w:rPr>
          <w:rFonts w:cstheme="minorHAnsi"/>
        </w:rPr>
        <w:t xml:space="preserve"> adopté le 11 juillet 2003 par l’Union africaine et entré en vigueur le 25 nove</w:t>
      </w:r>
      <w:r w:rsidRPr="005C79EE">
        <w:rPr>
          <w:rFonts w:cstheme="minorHAnsi"/>
        </w:rPr>
        <w:t>mbre 2005 ou la Convention d’Istanbul sur la prévention et la lutte contre la violence à l’égard des femmes et la violence domestique, adoptée le 7 avril 2011</w:t>
      </w:r>
      <w:r>
        <w:rPr>
          <w:rFonts w:cstheme="minorHAnsi"/>
        </w:rPr>
        <w:t>.</w:t>
      </w:r>
    </w:p>
  </w:footnote>
  <w:footnote w:id="19">
    <w:p w14:paraId="64359427" w14:textId="0271E79E" w:rsidR="00BD4CD3" w:rsidRDefault="00BD4CD3">
      <w:pPr>
        <w:pStyle w:val="Notedebasdepage"/>
      </w:pPr>
      <w:r w:rsidRPr="00E11A63">
        <w:rPr>
          <w:rStyle w:val="Appelnotedebasdep"/>
        </w:rPr>
        <w:footnoteRef/>
      </w:r>
      <w:r>
        <w:t xml:space="preserve"> </w:t>
      </w:r>
      <w:r>
        <w:fldChar w:fldCharType="begin"/>
      </w:r>
      <w:r>
        <w:instrText xml:space="preserve"> ADDIN ZOTERO_ITEM CSL_CITATION {"citationID":"g0mLQ56s","properties":{"formattedCitation":"HCE, \\uc0\\u171{}\\uc0\\u160{}Les actes sexistes durant le suivi gyn\\uc0\\u233{}cologique et obst\\uc0\\u233{}trical. Des remarques aux violences, la n\\uc0\\u233{}cessit\\uc0\\u233{} de reconnaitre, pr\\uc0\\u233{}venir et condamner le sexisme\\uc0\\u160{}\\uc0\\u187{}.","plainCitation":"HCE, « Les actes sexistes durant le suivi gynécologique et obstétrical. Des remarques aux violences, la nécessité de reconnaitre, prévenir et condamner le sexisme ».","noteIndex":19},"citationItems":[{"id":6019,"uris":["http://zotero.org/users/1644227/items/YZXCB3NR"],"uri":["http://zotero.org/users/1644227/items/YZXCB3NR"],"itemData":{"id":6019,"type":"report","event-place":"Paris, France","number":"Rapport n°2018-06-26-SAN-034","page":"164","publisher-place":"Paris, France","title":"Les actes sexistes durant le suivi gynécologique et obstétrical. Des remarques aux violences, la nécessité de reconnaitre, prévenir et condamner le sexisme","author":[{"family":"HCE","given":""}],"issued":{"date-parts":[["2018",6,26]]}}}],"schema":"https://github.com/citation-style-language/schema/raw/master/csl-citation.json"} </w:instrText>
      </w:r>
      <w:r>
        <w:fldChar w:fldCharType="separate"/>
      </w:r>
      <w:r w:rsidRPr="00114CBC">
        <w:rPr>
          <w:rFonts w:ascii="Calibri" w:hAnsi="Calibri" w:cs="Calibri"/>
          <w:szCs w:val="24"/>
        </w:rPr>
        <w:t>HCE, « Les actes sexistes durant le suivi gynécologique et obstétrical. Des remarques aux violences, la nécessité de reconnaitre, prévenir et condamner le sexisme ».</w:t>
      </w:r>
      <w:r>
        <w:fldChar w:fldCharType="end"/>
      </w:r>
    </w:p>
  </w:footnote>
  <w:footnote w:id="20">
    <w:p w14:paraId="768187D6" w14:textId="045C9F5F" w:rsidR="00BD4CD3" w:rsidRPr="00654ECE" w:rsidRDefault="00BD4CD3">
      <w:pPr>
        <w:pStyle w:val="Notedebasdepage"/>
        <w:rPr>
          <w:lang w:val="en-US"/>
        </w:rPr>
      </w:pPr>
      <w:r w:rsidRPr="00E11A63">
        <w:rPr>
          <w:rStyle w:val="Appelnotedebasdep"/>
        </w:rPr>
        <w:footnoteRef/>
      </w:r>
      <w:r w:rsidRPr="00114CBC">
        <w:t xml:space="preserve"> </w:t>
      </w:r>
      <w:r>
        <w:fldChar w:fldCharType="begin"/>
      </w:r>
      <w:r w:rsidRPr="00114CBC">
        <w:instrText xml:space="preserve"> ADDIN ZOTERO_ITEM CSL_CITATION {"citationID":"orka8lMY","properties":{"formattedCitation":"Adama Faye, Mariama Niane, et Ibrahim Ba, \\uc0\\u171{}\\uc0\\u160{}Home Birth in Women Who Have given Birth at Least Once in a Health Facility: Contributory Factors in a Developing Country\\uc0\\u160{}\\uc0\\u187{}, {\\i{}Acta Obstetricia et Gynecologica Scandinavica} 90, n\\super o\\nosupersub{} 11 (2011): 1239\\uc0\\u8209{}43, https://doi.org/10.1111/j.1600-0412.2011.01163.x.","plainCitation":"Adama Faye, Mariama Niane, et Ibrahim Ba, « Home Birth in Women Who Have given Birth at Least Once in a Health Facility: Contributory Factors in a Developing Country », Acta Obstetricia et Gynecologica Scandinavica 90, no 11 (2011): 1239</w:instrText>
      </w:r>
      <w:r w:rsidRPr="00114CBC">
        <w:rPr>
          <w:rFonts w:ascii="Cambria Math" w:hAnsi="Cambria Math" w:cs="Cambria Math"/>
        </w:rPr>
        <w:instrText>‑</w:instrText>
      </w:r>
      <w:r w:rsidRPr="00114CBC">
        <w:instrText>43, https://doi.org/10.1111/j.1600-0412.2011.01163.x.","noteIndex":20},"citationItems":[{"id":7046,"uris":["http://zotero.org/users/1644227/items/QER3FABM"],"uri":["http://zotero.org/users/1644227/items/QER3FABM"],"itemData":{"id":7046,"type":"article-journal","abstract":"Objective. To study the link between patients’ satisfaction about received services in health facilities and the choice of future delivery place of women who had delivered at least once in a facility. Design. Cross-sectional study. Setting. Health district Gossas in Senegal. Sample. Three hundred and seventy-three women who gave birth in the last 12months. Methods. Data were collected using a questionnaire during an interview. Logistic regression was used to explore the determinants of childbirth at home using the Andersen behavioral model. Main Outcome Measures. Place of delivery and satisfaction at reception and conduct of delivery. Results. The average age was 28±6years. Among the women interviewed, 97% were married, 53% being in a polygamous system, and 18% were educated. Forty-seven per cent of them were satisfied with the quality of the last delivery m</w:instrText>
      </w:r>
      <w:r w:rsidRPr="00654ECE">
        <w:rPr>
          <w:lang w:val="en-US"/>
        </w:rPr>
        <w:instrText xml:space="preserve">ade within a health facility. The prevalence of home birth was 22%. Home births were more frequent among women in a polygamous marriage [odds ratio (OR) 1.85; 95% confidence interval (CI) 1.01–3.14], with no means of transportation (OR 1.68; 95% CI 1.02–3.95) and who lived more than 5km from a health facility (OR 2.24; 95% CI 1.21–4.15). Poor quality of delivery in a health facility (OR 2.52; 95% CI 1.36–4.65) or a delivery done by a male provider (OR 3.90; 95% CI 2.30–6.65) were also risk factors for the choice of home delivery. Conclusions. Particular emphasis should be placed on training healthcare providers to improve the quality of service provided to patients in health facilities.","container-title":"Acta Obstetricia et Gynecologica Scandinavica","DOI":"https://doi.org/10.1111/j.1600-0412.2011.01163.x","ISSN":"1600-0412","issue":"11","language":"en","note":"_eprint: https://obgyn.onlinelibrary.wiley.com/doi/pdf/10.1111/j.1600-0412.2011.01163.x","page":"1239-1243","source":"Wiley Online Library","title":"Home birth in women who have given birth at least once in a health facility: contributory factors in a developing country","title-short":"Home birth in women who have given birth at least once in a health facility","volume":"90","author":[{"family":"Faye","given":"Adama"},{"family":"Niane","given":"Mariama"},{"family":"Ba","given":"Ibrahim"}],"issued":{"date-parts":[["2011"]]}}}],"schema":"https://github.com/citation-style-language/schema/raw/master/csl-citation.json"} </w:instrText>
      </w:r>
      <w:r>
        <w:fldChar w:fldCharType="separate"/>
      </w:r>
      <w:r w:rsidRPr="00654ECE">
        <w:rPr>
          <w:rFonts w:ascii="Calibri" w:hAnsi="Calibri" w:cs="Calibri"/>
          <w:szCs w:val="24"/>
          <w:lang w:val="en-US"/>
        </w:rPr>
        <w:t xml:space="preserve">Adama Faye, Mariama Niane, et Ibrahim Ba, « Home Birth in Women Who Have given Birth at Least Once in a Health Facility: Contributory Factors in a Developing Country », </w:t>
      </w:r>
      <w:r w:rsidRPr="00654ECE">
        <w:rPr>
          <w:rFonts w:ascii="Calibri" w:hAnsi="Calibri" w:cs="Calibri"/>
          <w:i/>
          <w:iCs/>
          <w:szCs w:val="24"/>
          <w:lang w:val="en-US"/>
        </w:rPr>
        <w:t>Acta Obstetricia et Gynecologica Scandinavica</w:t>
      </w:r>
      <w:r w:rsidRPr="00654ECE">
        <w:rPr>
          <w:rFonts w:ascii="Calibri" w:hAnsi="Calibri" w:cs="Calibri"/>
          <w:szCs w:val="24"/>
          <w:lang w:val="en-US"/>
        </w:rPr>
        <w:t xml:space="preserve"> 90, n</w:t>
      </w:r>
      <w:r w:rsidRPr="00654ECE">
        <w:rPr>
          <w:rFonts w:ascii="Calibri" w:hAnsi="Calibri" w:cs="Calibri"/>
          <w:szCs w:val="24"/>
          <w:vertAlign w:val="superscript"/>
          <w:lang w:val="en-US"/>
        </w:rPr>
        <w:t>o</w:t>
      </w:r>
      <w:r w:rsidRPr="00654ECE">
        <w:rPr>
          <w:rFonts w:ascii="Calibri" w:hAnsi="Calibri" w:cs="Calibri"/>
          <w:szCs w:val="24"/>
          <w:lang w:val="en-US"/>
        </w:rPr>
        <w:t xml:space="preserve"> 11 (2011): 1239‑43, https://doi.org/10.1111/j.1600-0412.2011.01163.x.</w:t>
      </w:r>
      <w:r>
        <w:fldChar w:fldCharType="end"/>
      </w:r>
    </w:p>
  </w:footnote>
  <w:footnote w:id="21">
    <w:p w14:paraId="62451D9E" w14:textId="7365F078" w:rsidR="00BD4CD3" w:rsidRPr="00654ECE" w:rsidRDefault="00BD4CD3" w:rsidP="00FF64DE">
      <w:pPr>
        <w:pStyle w:val="Notedebasdepage"/>
        <w:rPr>
          <w:lang w:val="en-US"/>
        </w:rPr>
      </w:pPr>
      <w:r w:rsidRPr="00E11A63">
        <w:rPr>
          <w:rStyle w:val="Appelnotedebasdep"/>
        </w:rPr>
        <w:footnoteRef/>
      </w:r>
      <w:r w:rsidRPr="00114CBC">
        <w:t xml:space="preserve"> </w:t>
      </w:r>
      <w:r>
        <w:fldChar w:fldCharType="begin"/>
      </w:r>
      <w:r w:rsidRPr="00114CBC">
        <w:instrText xml:space="preserve"> ADDIN ZOTERO_ITEM CSL_CITATION {"citationID":"3U4BQ4qb","properties":{"formattedCitation":"Meghan A. Bohren et al., \\uc0\\u171{}\\uc0\\u160{}Facilitators and Barriers to Facility-Based Delivery in Low- and Middle-Income Countries: A Qualitative Evidence Synthesis\\uc0\\u160{}\\uc0\\u187{}, {\\i{}Reproductive Health} 11, n\\super o\\nosupersub{} 1 (19 septembre 2014): 71, https://doi.org/10.1186/1742-4755-11-71.","plainCitation":"Meghan A. Bohren et al., « Facilitators and Barriers to Facility-Based Delivery in Low- and Middle-Income Countries: A Qualitative Evidence Synthesis », Reproductive Health 11, no 1 (19 septembre 2014): 71, https://doi.org/10.1186/1742-4755-11-71.","noteIndex":21},"citationItems":[{"id":6036,"uris":["http://zotero.org/users/1644227/items/DPZR59QX"],"uri":["http://zotero.org/users/1644227/items/DPZR59QX"],"itemData":{"id":6036,"type":"article-journal","abstract":"High-quality obstetric delivery in a health facility reduces maternal and perinatal morbidity and mortality. This systematic review synthesizes qualitative evidence related to the facilitators and barriers to delivering at health facilities in low- and middle-income countries. We aim to provide a useful framework for better understanding how various factors influence the decision-making process and the ultimate location of delivery at a facility or elsewhere. We conducted a qualitative evidence synthesis using a thematic analysis. Searches were conducted in PubMed, CINAHL and gray literature databases. Study quality was evaluated using the CASP checklist. The confidence in the findings was assessed using the CERQual method. Thirty-four studies from 17 countries were included. Findings were organized under four broad themes: (1) perceptions of pregnancy and childbirth; (2) influence of sociocultural context and care experiences; (3) resource availability and access; (4) perceptions of quality of care. Key barriers to facility-based delivery include traditional and familial influences, distance to the facility, cost of delivery, and low perceived quality of care and fear of discrimination during facility-based delivery. The emphasis placed on increasing facility-based deliveries by public health entities has led women and their families to believe that childbirth has become medicalized and dehumanized. When faced with the prospect of facility birth, women in low- and middle-income countries may fear va</w:instrText>
      </w:r>
      <w:r w:rsidRPr="00654ECE">
        <w:rPr>
          <w:lang w:val="en-US"/>
        </w:rPr>
        <w:instrText xml:space="preserve">rious undesirable procedures, and may prefer to deliver at home with a traditional birth attendant. Given the abundant reports of disrespectful and abusive obstetric care highlighted by this synthesis, future research should focus on achieving respectful, non-abusive, and high-quality obstetric care for all women. Funding for this project was provided by The United States Agency for International Development (USAID) and the UNDP/UNFPA/UNICEF/WHO/World Bank Special Programme of Research, Development and Research Training in Human Reproduction, Department of Reproductive Health and Research, World Health Organization.","container-title":"Reproductive Health","DOI":"10.1186/1742-4755-11-71","ISSN":"1742-4755","issue":"1","journalAbbreviation":"Reprod Health","language":"eng","note":"PMID: 25238684\nPMCID: PMC4247708","page":"71","source":"PubMed","title":"Facilitators and barriers to facility-based delivery in low- and middle-income countries: a qualitative evidence synthesis","title-short":"Facilitators and barriers to facility-based delivery in low- and middle-income countries","volume":"11","author":[{"family":"Bohren","given":"Meghan A."},{"family":"Hunter","given":"Erin C."},{"family":"Munthe-Kaas","given":"Heather M."},{"family":"Souza","given":"João Paulo"},{"family":"Vogel","given":"Joshua P."},{"family":"Gülmezoglu","given":"A. Metin"}],"issued":{"date-parts":[["2014",9,19]]}}}],"schema":"https://github.com/citation-style-language/schema/raw/master/csl-citation.json"} </w:instrText>
      </w:r>
      <w:r>
        <w:fldChar w:fldCharType="separate"/>
      </w:r>
      <w:r w:rsidRPr="00654ECE">
        <w:rPr>
          <w:rFonts w:ascii="Calibri" w:hAnsi="Calibri" w:cs="Calibri"/>
          <w:szCs w:val="24"/>
          <w:lang w:val="en-US"/>
        </w:rPr>
        <w:t xml:space="preserve">Meghan A. Bohren et al., « Facilitators and Barriers to Facility-Based Delivery in Low- and Middle-Income Countries: A Qualitative Evidence Synthesis », </w:t>
      </w:r>
      <w:r w:rsidRPr="00654ECE">
        <w:rPr>
          <w:rFonts w:ascii="Calibri" w:hAnsi="Calibri" w:cs="Calibri"/>
          <w:i/>
          <w:iCs/>
          <w:szCs w:val="24"/>
          <w:lang w:val="en-US"/>
        </w:rPr>
        <w:t>Reproductive Health</w:t>
      </w:r>
      <w:r w:rsidRPr="00654ECE">
        <w:rPr>
          <w:rFonts w:ascii="Calibri" w:hAnsi="Calibri" w:cs="Calibri"/>
          <w:szCs w:val="24"/>
          <w:lang w:val="en-US"/>
        </w:rPr>
        <w:t xml:space="preserve"> 11, n</w:t>
      </w:r>
      <w:r w:rsidRPr="00654ECE">
        <w:rPr>
          <w:rFonts w:ascii="Calibri" w:hAnsi="Calibri" w:cs="Calibri"/>
          <w:szCs w:val="24"/>
          <w:vertAlign w:val="superscript"/>
          <w:lang w:val="en-US"/>
        </w:rPr>
        <w:t>o</w:t>
      </w:r>
      <w:r w:rsidRPr="00654ECE">
        <w:rPr>
          <w:rFonts w:ascii="Calibri" w:hAnsi="Calibri" w:cs="Calibri"/>
          <w:szCs w:val="24"/>
          <w:lang w:val="en-US"/>
        </w:rPr>
        <w:t xml:space="preserve"> 1 (19 septembre 2014): 71, https://doi.org/10.1186/1742-4755-11-71.</w:t>
      </w:r>
      <w:r>
        <w:fldChar w:fldCharType="end"/>
      </w:r>
    </w:p>
  </w:footnote>
  <w:footnote w:id="22">
    <w:p w14:paraId="108E206D" w14:textId="63942A34" w:rsidR="00BD4CD3" w:rsidRDefault="00BD4CD3">
      <w:pPr>
        <w:pStyle w:val="Notedebasdepage"/>
      </w:pPr>
      <w:r w:rsidRPr="00E11A63">
        <w:rPr>
          <w:rStyle w:val="Appelnotedebasdep"/>
        </w:rPr>
        <w:footnoteRef/>
      </w:r>
      <w:r>
        <w:t xml:space="preserve"> </w:t>
      </w:r>
      <w:r>
        <w:fldChar w:fldCharType="begin"/>
      </w:r>
      <w:r>
        <w:instrText xml:space="preserve"> ADDIN ZOTERO_ITEM CSL_CITATION {"citationID":"rAQBPXjR","properties":{"formattedCitation":"HCE, \\uc0\\u171{}\\uc0\\u160{}Les actes sexistes durant le suivi gyn\\uc0\\u233{}cologique et obst\\uc0\\u233{}trical. Des remarques aux violences, la n\\uc0\\u233{}cessit\\uc0\\u233{} de reconnaitre, pr\\uc0\\u233{}venir et condamner le sexisme\\uc0\\u160{}\\uc0\\u187{}.","plainCitation":"HCE, « Les actes sexistes durant le suivi gynécologique et obstétrical. Des remarques aux violences, la nécessité de reconnaitre, prévenir et condamner le sexisme ».","noteIndex":22},"citationItems":[{"id":6019,"uris":["http://zotero.org/users/1644227/items/YZXCB3NR"],"uri":["http://zotero.org/users/1644227/items/YZXCB3NR"],"itemData":{"id":6019,"type":"report","event-place":"Paris, France","number":"Rapport n°2018-06-26-SAN-034","page":"164","publisher-place":"Paris, France","title":"Les actes sexistes durant le suivi gynécologique et obstétrical. Des remarques aux violences, la nécessité de reconnaitre, prévenir et condamner le sexisme","author":[{"family":"HCE","given":""}],"issued":{"date-parts":[["2018",6,26]]}}}],"schema":"https://github.com/citation-style-language/schema/raw/master/csl-citation.json"} </w:instrText>
      </w:r>
      <w:r>
        <w:fldChar w:fldCharType="separate"/>
      </w:r>
      <w:r w:rsidRPr="00114CBC">
        <w:rPr>
          <w:rFonts w:ascii="Calibri" w:hAnsi="Calibri" w:cs="Calibri"/>
          <w:szCs w:val="24"/>
        </w:rPr>
        <w:t>HCE, « Les actes sexistes durant le suivi gynécologique et obstétrical. Des remarques aux violences, la nécessité de reconnaitre, prévenir et condamner le sexisme ».</w:t>
      </w:r>
      <w:r>
        <w:fldChar w:fldCharType="end"/>
      </w:r>
    </w:p>
  </w:footnote>
  <w:footnote w:id="23">
    <w:p w14:paraId="377EA9E6" w14:textId="243B8969" w:rsidR="00BD4CD3" w:rsidRDefault="00BD4CD3">
      <w:pPr>
        <w:pStyle w:val="Notedebasdepage"/>
      </w:pPr>
      <w:r w:rsidRPr="00E11A63">
        <w:rPr>
          <w:rStyle w:val="Appelnotedebasdep"/>
        </w:rPr>
        <w:footnoteRef/>
      </w:r>
      <w:r>
        <w:t xml:space="preserve"> </w:t>
      </w:r>
      <w:r>
        <w:fldChar w:fldCharType="begin"/>
      </w:r>
      <w:r>
        <w:instrText xml:space="preserve"> ADDIN ZOTERO_ITEM CSL_CITATION {"citationID":"TH3VI0zf","properties":{"formattedCitation":"Nations Unies, \\uc0\\u171{}\\uc0\\u160{}Objectifs du Mill\\uc0\\u233{}naire pour le d\\uc0\\u233{}veloppement. Rapport 2015\\uc0\\u160{}\\uc0\\u187{}.","plainCitation":"Nations Unies, « Objectifs du Millénaire pour le développement. Rapport 2015 ».","noteIndex":23},"citationItems":[{"id":166,"uris":["http://zotero.org/users/1644227/items/TPFXQ3KB"],"uri":["http://zotero.org/users/1644227/items/TPFXQ3KB"],"itemData":{"id":166,"type":"report","page":"75","title":"Objectifs du Millénaire pour le développement. Rapport 2015","author":[{"family":"Nations Unies","given":""}],"issued":{"date-parts":[["2015"]]}}}],"schema":"https://github.com/citation-style-language/schema/raw/master/csl-citation.json"} </w:instrText>
      </w:r>
      <w:r>
        <w:fldChar w:fldCharType="separate"/>
      </w:r>
      <w:r w:rsidRPr="00114CBC">
        <w:rPr>
          <w:rFonts w:ascii="Calibri" w:hAnsi="Calibri" w:cs="Calibri"/>
          <w:szCs w:val="24"/>
        </w:rPr>
        <w:t>Nations Unies, « Objectifs du Millénaire pour le développement. Rapport 2015 ».</w:t>
      </w:r>
      <w:r>
        <w:fldChar w:fldCharType="end"/>
      </w:r>
    </w:p>
  </w:footnote>
  <w:footnote w:id="24">
    <w:p w14:paraId="1148AE28" w14:textId="635AAFFA" w:rsidR="00BD4CD3" w:rsidRDefault="00BD4CD3" w:rsidP="004E3F9D">
      <w:pPr>
        <w:pStyle w:val="Notedebasdepage"/>
      </w:pPr>
      <w:r>
        <w:rPr>
          <w:rStyle w:val="Appelnotedebasdep"/>
        </w:rPr>
        <w:footnoteRef/>
      </w:r>
      <w:r>
        <w:t xml:space="preserve"> </w:t>
      </w:r>
      <w:r>
        <w:fldChar w:fldCharType="begin"/>
      </w:r>
      <w:r>
        <w:instrText xml:space="preserve"> ADDIN ZOTERO_ITEM CSL_CITATION {"citationID":"sX01ZszC","properties":{"formattedCitation":"HCE, \\uc0\\u171{}\\uc0\\u160{}Les actes sexistes durant le suivi gyn\\uc0\\u233{}cologique et obst\\uc0\\u233{}trical. Des remarques aux violences, la n\\uc0\\u233{}cessit\\uc0\\u233{} de reconnaitre, pr\\uc0\\u233{}venir et condamner le sexisme\\uc0\\u160{}\\uc0\\u187{}.","plainCitation":"HCE, « Les actes sexistes durant le suivi gynécologique et obstétrical. Des remarques aux violences, la nécessité de reconnaitre, prévenir et condamner le sexisme ».","noteIndex":28},"citationItems":[{"id":6019,"uris":["http://zotero.org/users/1644227/items/YZXCB3NR"],"uri":["http://zotero.org/users/1644227/items/YZXCB3NR"],"itemData":{"id":6019,"type":"report","event-place":"Paris, France","number":"Rapport n°2018-06-26-SAN-034","page":"164","publisher-place":"Paris, France","title":"Les actes sexistes durant le suivi gynécologique et obstétrical. Des remarques aux violences, la nécessité de reconnaitre, prévenir et condamner le sexisme","author":[{"family":"HCE","given":""}],"issued":{"date-parts":[["2018",6,26]]}}}],"schema":"https://github.com/citation-style-language/schema/raw/master/csl-citation.json"} </w:instrText>
      </w:r>
      <w:r>
        <w:fldChar w:fldCharType="separate"/>
      </w:r>
      <w:r w:rsidRPr="00114CBC">
        <w:rPr>
          <w:rFonts w:ascii="Calibri" w:hAnsi="Calibri" w:cs="Calibri"/>
          <w:szCs w:val="24"/>
        </w:rPr>
        <w:t>HCE, « Les actes sexistes durant le suivi gynécologique et obstétrical. Des remarques aux violences, la nécessité de reconnaitre, prévenir et condamner le sexisme ».</w:t>
      </w:r>
      <w:r>
        <w:fldChar w:fldCharType="end"/>
      </w:r>
    </w:p>
  </w:footnote>
  <w:footnote w:id="25">
    <w:p w14:paraId="2C4DE097" w14:textId="707BDA7A" w:rsidR="00BD4CD3" w:rsidRDefault="00BD4CD3" w:rsidP="004E3F9D">
      <w:pPr>
        <w:pStyle w:val="Notedebasdepage"/>
      </w:pPr>
      <w:r>
        <w:rPr>
          <w:rStyle w:val="Appelnotedebasdep"/>
        </w:rPr>
        <w:footnoteRef/>
      </w:r>
      <w:r>
        <w:t xml:space="preserve"> </w:t>
      </w:r>
      <w:r>
        <w:fldChar w:fldCharType="begin"/>
      </w:r>
      <w:r>
        <w:instrText xml:space="preserve"> ADDIN ZOTERO_ITEM CSL_CITATION {"citationID":"62lpEacX","properties":{"formattedCitation":"Yannick Jaffr\\uc0\\u233{} et Alain Prual, \\uc0\\u171{}\\uc0\\u160{}\\uc0\\u171{}\\uc0\\u8239{}Le corps des sages-femmes\\uc0\\u8239{}\\uc0\\u187{}, entre identit\\uc0\\u233{}s professionnelle et sociale\\uc0\\u160{}\\uc0\\u187{}, {\\i{}Sciences sociales et sant\\uc0\\u233{}} 11, n\\super o\\nosupersub{} 2 (1993): 63\\uc0\\u8209{}80, https://doi.org/10.3406/sosan.1993.1265.","plainCitation":"Yannick Jaffré et Alain Prual, « « Le corps des sages-femmes », entre identités professionnelle et sociale », Sciences sociales et santé 11, no 2 (1993): 63</w:instrText>
      </w:r>
      <w:r>
        <w:rPr>
          <w:rFonts w:ascii="Cambria Math" w:hAnsi="Cambria Math" w:cs="Cambria Math"/>
        </w:rPr>
        <w:instrText>‑</w:instrText>
      </w:r>
      <w:r>
        <w:instrText xml:space="preserve">80, https://doi.org/10.3406/sosan.1993.1265.","noteIndex":29},"citationItems":[{"id":171,"uris":["http://zotero.org/users/1644227/items/G4W9KGK4"],"uri":["http://zotero.org/users/1644227/items/G4W9KGK4"],"itemData":{"id":171,"type":"article-journal","container-title":"Sciences sociales et santé","DOI":"10.3406/sosan.1993.1265","ISSN":"0294-0337","issue":"2","language":"fr","page":"63-80","source":"CrossRef","title":"« Le corps des sages-femmes », entre identités professionnelle et sociale","volume":"11","author":[{"family":"Jaffré","given":"Yannick"},{"family":"Prual","given":"Alain"}],"issued":{"date-parts":[["1993"]]}}}],"schema":"https://github.com/citation-style-language/schema/raw/master/csl-citation.json"} </w:instrText>
      </w:r>
      <w:r>
        <w:fldChar w:fldCharType="separate"/>
      </w:r>
      <w:r w:rsidRPr="00114CBC">
        <w:rPr>
          <w:rFonts w:ascii="Calibri" w:hAnsi="Calibri" w:cs="Calibri"/>
          <w:szCs w:val="24"/>
        </w:rPr>
        <w:t xml:space="preserve">Yannick Jaffré et Alain Prual, « « Le corps des sages-femmes », entre identités professionnelle et sociale », </w:t>
      </w:r>
      <w:r w:rsidRPr="00114CBC">
        <w:rPr>
          <w:rFonts w:ascii="Calibri" w:hAnsi="Calibri" w:cs="Calibri"/>
          <w:i/>
          <w:iCs/>
          <w:szCs w:val="24"/>
        </w:rPr>
        <w:t>Sciences sociales et santé</w:t>
      </w:r>
      <w:r w:rsidRPr="00114CBC">
        <w:rPr>
          <w:rFonts w:ascii="Calibri" w:hAnsi="Calibri" w:cs="Calibri"/>
          <w:szCs w:val="24"/>
        </w:rPr>
        <w:t xml:space="preserve"> 11, n</w:t>
      </w:r>
      <w:r w:rsidRPr="00114CBC">
        <w:rPr>
          <w:rFonts w:ascii="Calibri" w:hAnsi="Calibri" w:cs="Calibri"/>
          <w:szCs w:val="24"/>
          <w:vertAlign w:val="superscript"/>
        </w:rPr>
        <w:t>o</w:t>
      </w:r>
      <w:r w:rsidRPr="00114CBC">
        <w:rPr>
          <w:rFonts w:ascii="Calibri" w:hAnsi="Calibri" w:cs="Calibri"/>
          <w:szCs w:val="24"/>
        </w:rPr>
        <w:t xml:space="preserve"> 2 (1993): 63‑80, https://doi.org/10.3406/sosan.1993.1265.</w:t>
      </w:r>
      <w:r>
        <w:fldChar w:fldCharType="end"/>
      </w:r>
    </w:p>
  </w:footnote>
  <w:footnote w:id="26">
    <w:p w14:paraId="42ADD334" w14:textId="6F511B13" w:rsidR="00BD4CD3" w:rsidRDefault="00BD4CD3" w:rsidP="004E3F9D">
      <w:pPr>
        <w:pStyle w:val="Notedebasdepage"/>
      </w:pPr>
      <w:r>
        <w:rPr>
          <w:rStyle w:val="Appelnotedebasdep"/>
        </w:rPr>
        <w:footnoteRef/>
      </w:r>
      <w:r>
        <w:t xml:space="preserve"> </w:t>
      </w:r>
      <w:r>
        <w:fldChar w:fldCharType="begin"/>
      </w:r>
      <w:r>
        <w:instrText xml:space="preserve"> ADDIN ZOTERO_ITEM CSL_CITATION {"citationID":"yCeCXV1u","properties":{"formattedCitation":"Yannick Jaffr\\uc0\\u233{} et Jean-Pierre Olivier de Sardan, {\\i{}Une m\\uc0\\u233{}decine inhospitali\\uc0\\u232{}re: les difficiles relations entre soignants et soign\\uc0\\u233{}s dans les cinq capitales d\\uc0\\u8217{}Afrique de l\\uc0\\u8217{}Ouest} (Paris; Marseille: Karthala\\uc0\\u8239{}; APAD, 2003).","plainCitation":"Yannick Jaffré et Jean-Pierre Olivier de Sardan, Une médecine inhospitalière: les difficiles relations entre soignants et soignés dans les cinq capitales d’Afrique de l’Ouest (Paris; Marseille: Karthala ; APAD, 2003).","noteIndex":30},"citationItems":[{"id":554,"uris":["http://zotero.org/users/1644227/items/J8KRCVWQ"],"uri":["http://zotero.org/users/1644227/items/J8KRCVWQ"],"itemData":{"id":554,"type":"book","event-place":"Paris; Marseille","ISBN":"2-84586-373-X","language":"French","publisher":"Karthala ; APAD","publisher-place":"Paris; Marseille","source":"Open WorldCat","title":"Une médecine inhospitalière: les difficiles relations entre soignants et soignés dans les cinq capitales d'Afrique de l'Ouest","title-short":"Une médecine inhospitalière","author":[{"family":"Jaffré","given":"Yannick"},{"family":"Olivier de Sardan","given":"Jean-Pierre"}],"issued":{"date-parts":[["2003"]]}}}],"schema":"https://github.com/citation-style-language/schema/raw/master/csl-citation.json"} </w:instrText>
      </w:r>
      <w:r>
        <w:fldChar w:fldCharType="separate"/>
      </w:r>
      <w:r w:rsidRPr="00114CBC">
        <w:rPr>
          <w:rFonts w:ascii="Calibri" w:hAnsi="Calibri" w:cs="Calibri"/>
          <w:szCs w:val="24"/>
        </w:rPr>
        <w:t xml:space="preserve">Yannick Jaffré et Jean-Pierre Olivier de Sardan, </w:t>
      </w:r>
      <w:r w:rsidRPr="00114CBC">
        <w:rPr>
          <w:rFonts w:ascii="Calibri" w:hAnsi="Calibri" w:cs="Calibri"/>
          <w:i/>
          <w:iCs/>
          <w:szCs w:val="24"/>
        </w:rPr>
        <w:t>Une médecine inhospitalière: les difficiles relations entre soignants et soignés dans les cinq capitales d’Afrique de l’Ouest</w:t>
      </w:r>
      <w:r w:rsidRPr="00114CBC">
        <w:rPr>
          <w:rFonts w:ascii="Calibri" w:hAnsi="Calibri" w:cs="Calibri"/>
          <w:szCs w:val="24"/>
        </w:rPr>
        <w:t xml:space="preserve"> (Paris; Marseille: Karthala ; APAD, 2003).</w:t>
      </w:r>
      <w:r>
        <w:fldChar w:fldCharType="end"/>
      </w:r>
    </w:p>
  </w:footnote>
  <w:footnote w:id="27">
    <w:p w14:paraId="218C3D45" w14:textId="3F5B277F" w:rsidR="00BD4CD3" w:rsidRDefault="00BD4CD3" w:rsidP="004E3F9D">
      <w:pPr>
        <w:pStyle w:val="Notedebasdepage"/>
      </w:pPr>
      <w:r>
        <w:rPr>
          <w:rStyle w:val="Appelnotedebasdep"/>
        </w:rPr>
        <w:footnoteRef/>
      </w:r>
      <w:r>
        <w:t xml:space="preserve"> </w:t>
      </w:r>
      <w:r>
        <w:fldChar w:fldCharType="begin"/>
      </w:r>
      <w:r>
        <w:instrText xml:space="preserve"> ADDIN ZOTERO_ITEM CSL_CITATION {"citationID":"F2T7fqU9","properties":{"formattedCitation":"Yannick Jaffr\\uc0\\u233{}, \\uc0\\u171{}\\uc0\\u160{}Ce que les sages-femmes disent de leurs vies, de leur m\\uc0\\u233{}tier et de leurs pratiques de soin\\uc0\\u160{}\\uc0\\u187{}, {\\i{}Sant\\uc0\\u233{} Publique} S1, n\\super o\\nosupersub{} HS (30 juillet 2018): 151\\uc0\\u8209{}66, https://doi.org/10.3917/spub.180.0151.","plainCitation":"Yannick Jaffré, « Ce que les sages-femmes disent de leurs vies, de leur métier et de leurs pratiques de soin », Santé Publique S1, no HS (30 juillet 2018): 151</w:instrText>
      </w:r>
      <w:r>
        <w:rPr>
          <w:rFonts w:ascii="Cambria Math" w:hAnsi="Cambria Math" w:cs="Cambria Math"/>
        </w:rPr>
        <w:instrText>‑</w:instrText>
      </w:r>
      <w:r>
        <w:instrText xml:space="preserve">66, https://doi.org/10.3917/spub.180.0151.","noteIndex":31},"citationItems":[{"id":72,"uris":["http://zotero.org/users/1644227/items/997THXBP"],"uri":["http://zotero.org/users/1644227/items/997THXBP"],"itemData":{"id":72,"type":"article-journal","abstract":"Introduction : La disponibilité, la qualité et la répartition sur le territoire des personnels en charge des soins obstétricaux et néonatals qui sont déterminants pour réduire la mortalité maternelle et néonatale posent de nombreux problèmes. Par ailleurs, des études qualitatives ont décrit la mauvaise qualité de l’accueil fait aux femmes, les violences lors de l’accouchement, et les négligences envers les femmes les plus pauvres. Il reste à expliquer les raisons de ces conduites.Méthodes : C’est pourquoi nous avons réalisé une enquête au Bénin et au Burkina Faso, « depuis » les points de vue des sages-femmes sur leurs vies, leur métier et leurs pratiques obstétricales.Des données affectives, sensorielles, linguistiques et sociales montrent d’importantes discordances entre les propositions des programmes de santé et les obligations socio-affectives et économiques vécues par les sages-femmes. Elles soulignent l’importance des relations de genre dans les carrières de ces professionnelles.Résultats : Les attitudes des sages-femmes sont liées au fait de considérer l’accouchement comme un travail moral et leurs conduites de maltraitance correspondent à des glissements constants entre ce qui relève d’une compétence médicale technique (quant à la fécondité) et des jugements de valeurs quant à l’expression de la douleur, à la sexualité et au désir. Par ailleurs, certaines pratiques de violence sont justifiées par l’urgence à agir lors de l’expulsion de l’enfant.Discussion : Améliorer l’offre de soin implique de tenir compte de ces formes de justification et de permettre aux sages-femmes de développer une réflexivité sur leurs contraintes socio-affectives, leur rapport à la sexualité et leurs raisons d’agir., Introduction: This paper is based on two observations. First, despite multiple health programmes, access to services and quality of obstetric care remain inadequate in Africa. Secondly, although several qualitative studies have described the poor quality of admission facilities, violence during delivery and neglect of the poorest women, the reasons behind these behaviours have not been elucidated.This survey, conducted in Benin and Burkina Faso, examined midwives’ experiences of their job, their obstetric practices and their lives.By including the emotional, sensorial, linguistic and social elements, this paper shows important discordances between the proposals made by programmes (installation in rural areas, strict financial management) and midwives’ social and emotional duties and economic roles. It highlights the importance of gender relations in the careers of these professionals.The study also shows that the attitudes of midwives are related to the fact that childbirth is considered to be a moral act and their mistreatment behaviour corresponds to constant shifts between technical skills (fertility) and value judgements concerning expression of pain, sexuality and desire. On the other hand, midwives justify their violent practices by the urgency of the situation, especially during childbirth.The provision of care and effective implementation of programmes cannot be improved without taking into account these forms of justification and without constructing dialogues enabling midwives to develop a reflection about their social and emotional constraints, their relation to sexuality, and the reasons for their actions.","container-title":"Santé Publique","DOI":"10.3917/spub.180.0151","ISSN":"0995-3914","issue":"HS","language":"fr","page":"151-166","source":"Cairn.info","title":"Ce que les sages-femmes disent de leurs vies, de leur métier et de leurs pratiques de soin","volume":"S1","author":[{"family":"Jaffré","given":"Yannick"}],"issued":{"date-parts":[["2018",7,30]]}}}],"schema":"https://github.com/citation-style-language/schema/raw/master/csl-citation.json"} </w:instrText>
      </w:r>
      <w:r>
        <w:fldChar w:fldCharType="separate"/>
      </w:r>
      <w:r w:rsidRPr="00114CBC">
        <w:rPr>
          <w:rFonts w:ascii="Calibri" w:hAnsi="Calibri" w:cs="Calibri"/>
          <w:szCs w:val="24"/>
        </w:rPr>
        <w:t xml:space="preserve">Yannick Jaffré, « Ce que les sages-femmes disent de leurs vies, de leur métier et de leurs pratiques de soin », </w:t>
      </w:r>
      <w:r w:rsidRPr="00114CBC">
        <w:rPr>
          <w:rFonts w:ascii="Calibri" w:hAnsi="Calibri" w:cs="Calibri"/>
          <w:i/>
          <w:iCs/>
          <w:szCs w:val="24"/>
        </w:rPr>
        <w:t>Santé Publique</w:t>
      </w:r>
      <w:r w:rsidRPr="00114CBC">
        <w:rPr>
          <w:rFonts w:ascii="Calibri" w:hAnsi="Calibri" w:cs="Calibri"/>
          <w:szCs w:val="24"/>
        </w:rPr>
        <w:t xml:space="preserve"> S1, n</w:t>
      </w:r>
      <w:r w:rsidRPr="00114CBC">
        <w:rPr>
          <w:rFonts w:ascii="Calibri" w:hAnsi="Calibri" w:cs="Calibri"/>
          <w:szCs w:val="24"/>
          <w:vertAlign w:val="superscript"/>
        </w:rPr>
        <w:t>o</w:t>
      </w:r>
      <w:r w:rsidRPr="00114CBC">
        <w:rPr>
          <w:rFonts w:ascii="Calibri" w:hAnsi="Calibri" w:cs="Calibri"/>
          <w:szCs w:val="24"/>
        </w:rPr>
        <w:t xml:space="preserve"> HS (30 juillet 2018): 151‑66, https://doi.org/10.3917/spub.180.0151.</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9B46564"/>
    <w:lvl w:ilvl="0">
      <w:start w:val="1"/>
      <w:numFmt w:val="decimal"/>
      <w:pStyle w:val="Titre1"/>
      <w:lvlText w:val="%1."/>
      <w:legacy w:legacy="1" w:legacySpace="0" w:legacyIndent="567"/>
      <w:lvlJc w:val="left"/>
      <w:pPr>
        <w:ind w:left="567" w:hanging="567"/>
      </w:pPr>
    </w:lvl>
    <w:lvl w:ilvl="1">
      <w:start w:val="1"/>
      <w:numFmt w:val="decimal"/>
      <w:pStyle w:val="Titre2"/>
      <w:lvlText w:val="%1.%2."/>
      <w:legacy w:legacy="1" w:legacySpace="0" w:legacyIndent="680"/>
      <w:lvlJc w:val="left"/>
      <w:pPr>
        <w:ind w:left="5540" w:hanging="680"/>
      </w:pPr>
    </w:lvl>
    <w:lvl w:ilvl="2">
      <w:start w:val="1"/>
      <w:numFmt w:val="decimal"/>
      <w:pStyle w:val="Titre3"/>
      <w:lvlText w:val="%1.%2.%3."/>
      <w:legacy w:legacy="1" w:legacySpace="0" w:legacyIndent="737"/>
      <w:lvlJc w:val="left"/>
      <w:pPr>
        <w:ind w:left="2580" w:hanging="737"/>
      </w:pPr>
    </w:lvl>
    <w:lvl w:ilvl="3">
      <w:start w:val="1"/>
      <w:numFmt w:val="decimal"/>
      <w:pStyle w:val="Titre4"/>
      <w:lvlText w:val="%1.%2.%3.%4."/>
      <w:legacy w:legacy="1" w:legacySpace="0" w:legacyIndent="851"/>
      <w:lvlJc w:val="left"/>
      <w:pPr>
        <w:ind w:left="2835" w:hanging="851"/>
      </w:pPr>
    </w:lvl>
    <w:lvl w:ilvl="4">
      <w:start w:val="1"/>
      <w:numFmt w:val="lowerLetter"/>
      <w:pStyle w:val="Titre5"/>
      <w:lvlText w:val="%5."/>
      <w:legacy w:legacy="1" w:legacySpace="0" w:legacyIndent="567"/>
      <w:lvlJc w:val="left"/>
      <w:pPr>
        <w:ind w:left="567" w:hanging="567"/>
      </w:pPr>
    </w:lvl>
    <w:lvl w:ilvl="5">
      <w:start w:val="1"/>
      <w:numFmt w:val="lowerRoman"/>
      <w:pStyle w:val="Titre6"/>
      <w:lvlText w:val="%6."/>
      <w:legacy w:legacy="1" w:legacySpace="0" w:legacyIndent="567"/>
      <w:lvlJc w:val="left"/>
      <w:pPr>
        <w:ind w:left="567" w:hanging="567"/>
      </w:pPr>
    </w:lvl>
    <w:lvl w:ilvl="6">
      <w:start w:val="1"/>
      <w:numFmt w:val="decimal"/>
      <w:pStyle w:val="Titre7"/>
      <w:lvlText w:val="%6.%7."/>
      <w:legacy w:legacy="1" w:legacySpace="0" w:legacyIndent="708"/>
      <w:lvlJc w:val="left"/>
      <w:pPr>
        <w:ind w:left="4677" w:hanging="708"/>
      </w:pPr>
    </w:lvl>
    <w:lvl w:ilvl="7">
      <w:start w:val="1"/>
      <w:numFmt w:val="decimal"/>
      <w:pStyle w:val="Titre8"/>
      <w:lvlText w:val="%6.%7.%8."/>
      <w:legacy w:legacy="1" w:legacySpace="0" w:legacyIndent="708"/>
      <w:lvlJc w:val="left"/>
      <w:pPr>
        <w:ind w:left="5385" w:hanging="708"/>
      </w:pPr>
    </w:lvl>
    <w:lvl w:ilvl="8">
      <w:start w:val="1"/>
      <w:numFmt w:val="decimal"/>
      <w:pStyle w:val="Titre9"/>
      <w:lvlText w:val="%6.%7.%8.%9."/>
      <w:legacy w:legacy="1" w:legacySpace="0" w:legacyIndent="708"/>
      <w:lvlJc w:val="left"/>
      <w:pPr>
        <w:ind w:left="6093" w:hanging="708"/>
      </w:pPr>
    </w:lvl>
  </w:abstractNum>
  <w:abstractNum w:abstractNumId="1" w15:restartNumberingAfterBreak="0">
    <w:nsid w:val="06CF5922"/>
    <w:multiLevelType w:val="hybridMultilevel"/>
    <w:tmpl w:val="FC1EB872"/>
    <w:lvl w:ilvl="0" w:tplc="270450A0">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24295C"/>
    <w:multiLevelType w:val="hybridMultilevel"/>
    <w:tmpl w:val="42E26D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4407511"/>
    <w:multiLevelType w:val="hybridMultilevel"/>
    <w:tmpl w:val="9B708BEE"/>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6F2CD2"/>
    <w:multiLevelType w:val="hybridMultilevel"/>
    <w:tmpl w:val="632E5A8C"/>
    <w:lvl w:ilvl="0" w:tplc="BF0A6014">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301940"/>
    <w:multiLevelType w:val="hybridMultilevel"/>
    <w:tmpl w:val="CFB6F1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1737E3"/>
    <w:multiLevelType w:val="hybridMultilevel"/>
    <w:tmpl w:val="1B1C730A"/>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FC0689"/>
    <w:multiLevelType w:val="multilevel"/>
    <w:tmpl w:val="E31C578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DA25BD"/>
    <w:multiLevelType w:val="hybridMultilevel"/>
    <w:tmpl w:val="F586C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C0364F"/>
    <w:multiLevelType w:val="hybridMultilevel"/>
    <w:tmpl w:val="845E754C"/>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321644"/>
    <w:multiLevelType w:val="hybridMultilevel"/>
    <w:tmpl w:val="BE6489A8"/>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756705"/>
    <w:multiLevelType w:val="multilevel"/>
    <w:tmpl w:val="F112F4A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974CCA"/>
    <w:multiLevelType w:val="multilevel"/>
    <w:tmpl w:val="A7B8CF90"/>
    <w:lvl w:ilvl="0">
      <w:start w:val="2"/>
      <w:numFmt w:val="decimal"/>
      <w:lvlText w:val="%1."/>
      <w:lvlJc w:val="left"/>
      <w:pPr>
        <w:ind w:left="360" w:hanging="360"/>
      </w:pPr>
      <w:rPr>
        <w:rFonts w:hint="default"/>
      </w:rPr>
    </w:lvl>
    <w:lvl w:ilvl="1">
      <w:start w:val="1"/>
      <w:numFmt w:val="decimal"/>
      <w:pStyle w:val="Soustitre1"/>
      <w:lvlText w:val="%1.%2."/>
      <w:lvlJc w:val="left"/>
      <w:pPr>
        <w:ind w:left="624" w:hanging="340"/>
      </w:pPr>
      <w:rPr>
        <w:rFonts w:hint="default"/>
      </w:rPr>
    </w:lvl>
    <w:lvl w:ilvl="2">
      <w:start w:val="1"/>
      <w:numFmt w:val="decimal"/>
      <w:pStyle w:val="Soussoustitr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8"/>
  </w:num>
  <w:num w:numId="3">
    <w:abstractNumId w:val="0"/>
  </w:num>
  <w:num w:numId="4">
    <w:abstractNumId w:val="3"/>
  </w:num>
  <w:num w:numId="5">
    <w:abstractNumId w:val="10"/>
  </w:num>
  <w:num w:numId="6">
    <w:abstractNumId w:val="9"/>
  </w:num>
  <w:num w:numId="7">
    <w:abstractNumId w:val="12"/>
  </w:num>
  <w:num w:numId="8">
    <w:abstractNumId w:val="2"/>
  </w:num>
  <w:num w:numId="9">
    <w:abstractNumId w:val="4"/>
  </w:num>
  <w:num w:numId="10">
    <w:abstractNumId w:val="7"/>
  </w:num>
  <w:num w:numId="11">
    <w:abstractNumId w:val="11"/>
  </w:num>
  <w:num w:numId="12">
    <w:abstractNumId w:val="12"/>
    <w:lvlOverride w:ilvl="0">
      <w:startOverride w:val="3"/>
    </w:lvlOverride>
    <w:lvlOverride w:ilvl="1">
      <w:startOverride w:val="4"/>
    </w:lvlOverride>
  </w:num>
  <w:num w:numId="13">
    <w:abstractNumId w:val="5"/>
  </w:num>
  <w:num w:numId="14">
    <w:abstractNumId w:val="1"/>
  </w:num>
  <w:num w:numId="15">
    <w:abstractNumId w:val="12"/>
    <w:lvlOverride w:ilvl="0">
      <w:startOverride w:val="3"/>
    </w:lvlOverride>
    <w:lvlOverride w:ilvl="1">
      <w:startOverride w:val="4"/>
    </w:lvlOverride>
    <w:lvlOverride w:ilvl="2">
      <w:startOverride w:val="1"/>
    </w:lvlOverride>
  </w:num>
  <w:num w:numId="16">
    <w:abstractNumId w:val="12"/>
    <w:lvlOverride w:ilvl="0">
      <w:startOverride w:val="3"/>
    </w:lvlOverride>
    <w:lvlOverride w:ilvl="1">
      <w:startOverride w:val="4"/>
    </w:lvlOverride>
    <w:lvlOverride w:ilvl="2">
      <w:startOverride w:val="1"/>
    </w:lvlOverride>
  </w:num>
  <w:num w:numId="17">
    <w:abstractNumId w:val="12"/>
  </w:num>
  <w:num w:numId="18">
    <w:abstractNumId w:val="12"/>
  </w:num>
  <w:num w:numId="19">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HAS Rebecca">
    <w15:presenceInfo w15:providerId="AD" w15:userId="S-1-5-21-3803155387-4143733754-3887331536-268660"/>
  </w15:person>
  <w15:person w15:author="Clémence Schantz Inguenault">
    <w15:presenceInfo w15:providerId="Windows Live" w15:userId="d1ddd0ea5f458795"/>
  </w15:person>
  <w15:person w15:author="DE PERETTI Corinne">
    <w15:presenceInfo w15:providerId="AD" w15:userId="S-1-5-21-3803155387-4143733754-3887331536-11074"/>
  </w15:person>
  <w15:person w15:author="GIRON Claire">
    <w15:presenceInfo w15:providerId="AD" w15:userId="S-1-5-21-3803155387-4143733754-3887331536-105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4096"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03"/>
    <w:rsid w:val="00005232"/>
    <w:rsid w:val="00010EDD"/>
    <w:rsid w:val="00012BFC"/>
    <w:rsid w:val="000139B0"/>
    <w:rsid w:val="00017373"/>
    <w:rsid w:val="00023EFC"/>
    <w:rsid w:val="000274FA"/>
    <w:rsid w:val="0004283F"/>
    <w:rsid w:val="000442BA"/>
    <w:rsid w:val="00044C3F"/>
    <w:rsid w:val="00050FF9"/>
    <w:rsid w:val="000554BA"/>
    <w:rsid w:val="0006051D"/>
    <w:rsid w:val="0006587E"/>
    <w:rsid w:val="00066FA6"/>
    <w:rsid w:val="00076AAC"/>
    <w:rsid w:val="000862E0"/>
    <w:rsid w:val="000879B9"/>
    <w:rsid w:val="00092815"/>
    <w:rsid w:val="00094F03"/>
    <w:rsid w:val="000954C1"/>
    <w:rsid w:val="0009628A"/>
    <w:rsid w:val="000A391E"/>
    <w:rsid w:val="000A3A23"/>
    <w:rsid w:val="000A4F4D"/>
    <w:rsid w:val="000B1848"/>
    <w:rsid w:val="000B27A9"/>
    <w:rsid w:val="000B40F2"/>
    <w:rsid w:val="000C3755"/>
    <w:rsid w:val="000C4414"/>
    <w:rsid w:val="000C7A92"/>
    <w:rsid w:val="000D2A87"/>
    <w:rsid w:val="000D2FF3"/>
    <w:rsid w:val="000D41E2"/>
    <w:rsid w:val="000D428B"/>
    <w:rsid w:val="000E2178"/>
    <w:rsid w:val="000E6397"/>
    <w:rsid w:val="000E6C70"/>
    <w:rsid w:val="000E6CD4"/>
    <w:rsid w:val="000E799F"/>
    <w:rsid w:val="000F0D5D"/>
    <w:rsid w:val="000F71B2"/>
    <w:rsid w:val="000F71D9"/>
    <w:rsid w:val="00102205"/>
    <w:rsid w:val="00102FAB"/>
    <w:rsid w:val="00103D3B"/>
    <w:rsid w:val="00104095"/>
    <w:rsid w:val="001051DC"/>
    <w:rsid w:val="00107AA3"/>
    <w:rsid w:val="00107FF8"/>
    <w:rsid w:val="00114CBC"/>
    <w:rsid w:val="001177E6"/>
    <w:rsid w:val="0012226A"/>
    <w:rsid w:val="00123375"/>
    <w:rsid w:val="00123953"/>
    <w:rsid w:val="00124842"/>
    <w:rsid w:val="001264D5"/>
    <w:rsid w:val="00126A9D"/>
    <w:rsid w:val="0013098F"/>
    <w:rsid w:val="001315EB"/>
    <w:rsid w:val="0013256B"/>
    <w:rsid w:val="0013585D"/>
    <w:rsid w:val="001368A0"/>
    <w:rsid w:val="00140020"/>
    <w:rsid w:val="00142C2E"/>
    <w:rsid w:val="00145BA9"/>
    <w:rsid w:val="0014683B"/>
    <w:rsid w:val="00147C48"/>
    <w:rsid w:val="001507C3"/>
    <w:rsid w:val="00155B94"/>
    <w:rsid w:val="0015681C"/>
    <w:rsid w:val="00163F48"/>
    <w:rsid w:val="00164427"/>
    <w:rsid w:val="001645BD"/>
    <w:rsid w:val="00166682"/>
    <w:rsid w:val="00170368"/>
    <w:rsid w:val="001708EC"/>
    <w:rsid w:val="001709D8"/>
    <w:rsid w:val="00171430"/>
    <w:rsid w:val="001813EF"/>
    <w:rsid w:val="00184AE4"/>
    <w:rsid w:val="00186715"/>
    <w:rsid w:val="00186929"/>
    <w:rsid w:val="001905D4"/>
    <w:rsid w:val="001926A5"/>
    <w:rsid w:val="001930E9"/>
    <w:rsid w:val="00193B67"/>
    <w:rsid w:val="00194A3E"/>
    <w:rsid w:val="001A3D44"/>
    <w:rsid w:val="001A55AE"/>
    <w:rsid w:val="001A7190"/>
    <w:rsid w:val="001B22C5"/>
    <w:rsid w:val="001B3098"/>
    <w:rsid w:val="001B427C"/>
    <w:rsid w:val="001B4914"/>
    <w:rsid w:val="001B55E7"/>
    <w:rsid w:val="001C1056"/>
    <w:rsid w:val="001C4DEF"/>
    <w:rsid w:val="001C7C30"/>
    <w:rsid w:val="001D0DE4"/>
    <w:rsid w:val="001D33C6"/>
    <w:rsid w:val="001D39D7"/>
    <w:rsid w:val="001D4B77"/>
    <w:rsid w:val="001D6599"/>
    <w:rsid w:val="001D71C2"/>
    <w:rsid w:val="001D7D32"/>
    <w:rsid w:val="001E2BBA"/>
    <w:rsid w:val="001E6139"/>
    <w:rsid w:val="001E7682"/>
    <w:rsid w:val="001F06CC"/>
    <w:rsid w:val="001F0BC9"/>
    <w:rsid w:val="001F21BE"/>
    <w:rsid w:val="001F220E"/>
    <w:rsid w:val="001F2237"/>
    <w:rsid w:val="001F2F27"/>
    <w:rsid w:val="001F37C4"/>
    <w:rsid w:val="00211427"/>
    <w:rsid w:val="0021164D"/>
    <w:rsid w:val="00211D5B"/>
    <w:rsid w:val="00215B8F"/>
    <w:rsid w:val="00222A82"/>
    <w:rsid w:val="002230A9"/>
    <w:rsid w:val="0022354B"/>
    <w:rsid w:val="00223B4F"/>
    <w:rsid w:val="00223EFD"/>
    <w:rsid w:val="00224F55"/>
    <w:rsid w:val="0022558A"/>
    <w:rsid w:val="00226EAA"/>
    <w:rsid w:val="00230D12"/>
    <w:rsid w:val="002339FE"/>
    <w:rsid w:val="00245B94"/>
    <w:rsid w:val="00245D38"/>
    <w:rsid w:val="00246D68"/>
    <w:rsid w:val="002476D9"/>
    <w:rsid w:val="00252879"/>
    <w:rsid w:val="00253F86"/>
    <w:rsid w:val="00260695"/>
    <w:rsid w:val="00264258"/>
    <w:rsid w:val="00264DF7"/>
    <w:rsid w:val="00265CA0"/>
    <w:rsid w:val="00265DE3"/>
    <w:rsid w:val="0027100B"/>
    <w:rsid w:val="00277040"/>
    <w:rsid w:val="002775B9"/>
    <w:rsid w:val="00280587"/>
    <w:rsid w:val="00281086"/>
    <w:rsid w:val="0028511E"/>
    <w:rsid w:val="00286A0E"/>
    <w:rsid w:val="00292A01"/>
    <w:rsid w:val="002937A2"/>
    <w:rsid w:val="00295E02"/>
    <w:rsid w:val="00296613"/>
    <w:rsid w:val="00297696"/>
    <w:rsid w:val="002A018A"/>
    <w:rsid w:val="002A0AF8"/>
    <w:rsid w:val="002A213B"/>
    <w:rsid w:val="002A24C1"/>
    <w:rsid w:val="002B05C7"/>
    <w:rsid w:val="002B36DC"/>
    <w:rsid w:val="002B4204"/>
    <w:rsid w:val="002C63CE"/>
    <w:rsid w:val="002D0A5A"/>
    <w:rsid w:val="002D10A5"/>
    <w:rsid w:val="002D1166"/>
    <w:rsid w:val="002D146D"/>
    <w:rsid w:val="002D361A"/>
    <w:rsid w:val="002E0C75"/>
    <w:rsid w:val="002E722B"/>
    <w:rsid w:val="002F391D"/>
    <w:rsid w:val="002F4CCA"/>
    <w:rsid w:val="002F6AE9"/>
    <w:rsid w:val="003033B2"/>
    <w:rsid w:val="0030377E"/>
    <w:rsid w:val="003102DA"/>
    <w:rsid w:val="00310B3F"/>
    <w:rsid w:val="00311A06"/>
    <w:rsid w:val="00312E01"/>
    <w:rsid w:val="00317494"/>
    <w:rsid w:val="00324588"/>
    <w:rsid w:val="00325AEC"/>
    <w:rsid w:val="0033150E"/>
    <w:rsid w:val="00333889"/>
    <w:rsid w:val="00334F6E"/>
    <w:rsid w:val="00337148"/>
    <w:rsid w:val="0034081F"/>
    <w:rsid w:val="0034205F"/>
    <w:rsid w:val="0034611E"/>
    <w:rsid w:val="00352A81"/>
    <w:rsid w:val="003535F7"/>
    <w:rsid w:val="003541BC"/>
    <w:rsid w:val="00354C4D"/>
    <w:rsid w:val="00361A87"/>
    <w:rsid w:val="003676A3"/>
    <w:rsid w:val="00370B43"/>
    <w:rsid w:val="00372361"/>
    <w:rsid w:val="00372E54"/>
    <w:rsid w:val="00373767"/>
    <w:rsid w:val="0037461D"/>
    <w:rsid w:val="00377285"/>
    <w:rsid w:val="00377502"/>
    <w:rsid w:val="003862B1"/>
    <w:rsid w:val="00387226"/>
    <w:rsid w:val="003872DE"/>
    <w:rsid w:val="003878FC"/>
    <w:rsid w:val="00393BFC"/>
    <w:rsid w:val="0039459C"/>
    <w:rsid w:val="00396F45"/>
    <w:rsid w:val="003A05E5"/>
    <w:rsid w:val="003A6791"/>
    <w:rsid w:val="003A7736"/>
    <w:rsid w:val="003B067A"/>
    <w:rsid w:val="003B2D81"/>
    <w:rsid w:val="003B34FD"/>
    <w:rsid w:val="003B5465"/>
    <w:rsid w:val="003C3B20"/>
    <w:rsid w:val="003D2336"/>
    <w:rsid w:val="003D2852"/>
    <w:rsid w:val="003D40DB"/>
    <w:rsid w:val="003D5BA3"/>
    <w:rsid w:val="003E018B"/>
    <w:rsid w:val="003E0C82"/>
    <w:rsid w:val="003E20E7"/>
    <w:rsid w:val="003E2D8E"/>
    <w:rsid w:val="003F0951"/>
    <w:rsid w:val="003F5132"/>
    <w:rsid w:val="00400B9F"/>
    <w:rsid w:val="004027F4"/>
    <w:rsid w:val="00403E21"/>
    <w:rsid w:val="00407ED3"/>
    <w:rsid w:val="00410D2F"/>
    <w:rsid w:val="004112B4"/>
    <w:rsid w:val="004137B1"/>
    <w:rsid w:val="0041524E"/>
    <w:rsid w:val="00422B91"/>
    <w:rsid w:val="004262E8"/>
    <w:rsid w:val="00426AFC"/>
    <w:rsid w:val="004302CF"/>
    <w:rsid w:val="00430BF6"/>
    <w:rsid w:val="00434FCB"/>
    <w:rsid w:val="00435F2D"/>
    <w:rsid w:val="00442A8A"/>
    <w:rsid w:val="00443E28"/>
    <w:rsid w:val="00444090"/>
    <w:rsid w:val="0044658E"/>
    <w:rsid w:val="004547F4"/>
    <w:rsid w:val="00455438"/>
    <w:rsid w:val="00455936"/>
    <w:rsid w:val="0045661C"/>
    <w:rsid w:val="00461622"/>
    <w:rsid w:val="00461D9C"/>
    <w:rsid w:val="00462CB5"/>
    <w:rsid w:val="00463D3E"/>
    <w:rsid w:val="00465EC3"/>
    <w:rsid w:val="004725B4"/>
    <w:rsid w:val="00474B71"/>
    <w:rsid w:val="00476F6F"/>
    <w:rsid w:val="00477777"/>
    <w:rsid w:val="00486FE4"/>
    <w:rsid w:val="00492818"/>
    <w:rsid w:val="00493DE6"/>
    <w:rsid w:val="004A19A9"/>
    <w:rsid w:val="004A46D7"/>
    <w:rsid w:val="004B0095"/>
    <w:rsid w:val="004B0FB4"/>
    <w:rsid w:val="004B219D"/>
    <w:rsid w:val="004B4D86"/>
    <w:rsid w:val="004B56C0"/>
    <w:rsid w:val="004B579D"/>
    <w:rsid w:val="004B68D1"/>
    <w:rsid w:val="004B7C4D"/>
    <w:rsid w:val="004B7D39"/>
    <w:rsid w:val="004C1A80"/>
    <w:rsid w:val="004C2FBB"/>
    <w:rsid w:val="004C347C"/>
    <w:rsid w:val="004C697C"/>
    <w:rsid w:val="004D56B6"/>
    <w:rsid w:val="004D6C2D"/>
    <w:rsid w:val="004D6FBD"/>
    <w:rsid w:val="004D74B0"/>
    <w:rsid w:val="004E1848"/>
    <w:rsid w:val="004E272C"/>
    <w:rsid w:val="004E3F9D"/>
    <w:rsid w:val="004E54A9"/>
    <w:rsid w:val="004E6370"/>
    <w:rsid w:val="004F3391"/>
    <w:rsid w:val="0050215A"/>
    <w:rsid w:val="005021F7"/>
    <w:rsid w:val="0050282C"/>
    <w:rsid w:val="0050526B"/>
    <w:rsid w:val="00505F5C"/>
    <w:rsid w:val="00517850"/>
    <w:rsid w:val="00522763"/>
    <w:rsid w:val="005239AB"/>
    <w:rsid w:val="00523FF0"/>
    <w:rsid w:val="00525683"/>
    <w:rsid w:val="00526539"/>
    <w:rsid w:val="005337F6"/>
    <w:rsid w:val="00537BF0"/>
    <w:rsid w:val="00540595"/>
    <w:rsid w:val="00545F60"/>
    <w:rsid w:val="00551A75"/>
    <w:rsid w:val="005525A5"/>
    <w:rsid w:val="005531C9"/>
    <w:rsid w:val="005555CF"/>
    <w:rsid w:val="00560825"/>
    <w:rsid w:val="00566820"/>
    <w:rsid w:val="0057010E"/>
    <w:rsid w:val="00576C3A"/>
    <w:rsid w:val="00580F6A"/>
    <w:rsid w:val="00582E98"/>
    <w:rsid w:val="00585635"/>
    <w:rsid w:val="0058699B"/>
    <w:rsid w:val="00586B16"/>
    <w:rsid w:val="00591062"/>
    <w:rsid w:val="0059441C"/>
    <w:rsid w:val="00596B3C"/>
    <w:rsid w:val="005A048B"/>
    <w:rsid w:val="005A056B"/>
    <w:rsid w:val="005A47C2"/>
    <w:rsid w:val="005A545F"/>
    <w:rsid w:val="005A5761"/>
    <w:rsid w:val="005A5E90"/>
    <w:rsid w:val="005B08BF"/>
    <w:rsid w:val="005B36C8"/>
    <w:rsid w:val="005B52BB"/>
    <w:rsid w:val="005C6684"/>
    <w:rsid w:val="005C79EE"/>
    <w:rsid w:val="005D0239"/>
    <w:rsid w:val="005D691C"/>
    <w:rsid w:val="005D6BD8"/>
    <w:rsid w:val="005E439A"/>
    <w:rsid w:val="005E44BF"/>
    <w:rsid w:val="0060056B"/>
    <w:rsid w:val="00602175"/>
    <w:rsid w:val="006064DE"/>
    <w:rsid w:val="0061258E"/>
    <w:rsid w:val="006143C9"/>
    <w:rsid w:val="00620267"/>
    <w:rsid w:val="00623F6F"/>
    <w:rsid w:val="006247CB"/>
    <w:rsid w:val="006249F7"/>
    <w:rsid w:val="006309B7"/>
    <w:rsid w:val="00633F55"/>
    <w:rsid w:val="00637C40"/>
    <w:rsid w:val="00646A96"/>
    <w:rsid w:val="00647795"/>
    <w:rsid w:val="00651704"/>
    <w:rsid w:val="00651E2E"/>
    <w:rsid w:val="00652BB3"/>
    <w:rsid w:val="00654589"/>
    <w:rsid w:val="00654BD9"/>
    <w:rsid w:val="00654ECE"/>
    <w:rsid w:val="00663BD1"/>
    <w:rsid w:val="006641F6"/>
    <w:rsid w:val="00664DE9"/>
    <w:rsid w:val="006654EC"/>
    <w:rsid w:val="00666E6C"/>
    <w:rsid w:val="00677916"/>
    <w:rsid w:val="00682395"/>
    <w:rsid w:val="006827E1"/>
    <w:rsid w:val="00684C75"/>
    <w:rsid w:val="006860E2"/>
    <w:rsid w:val="006936A1"/>
    <w:rsid w:val="006971F5"/>
    <w:rsid w:val="006A1AC9"/>
    <w:rsid w:val="006A25F1"/>
    <w:rsid w:val="006A2685"/>
    <w:rsid w:val="006A34D8"/>
    <w:rsid w:val="006A49C4"/>
    <w:rsid w:val="006B5E78"/>
    <w:rsid w:val="006C40F9"/>
    <w:rsid w:val="006C4AD5"/>
    <w:rsid w:val="006C7317"/>
    <w:rsid w:val="006D0BA6"/>
    <w:rsid w:val="006E2AC9"/>
    <w:rsid w:val="006E575F"/>
    <w:rsid w:val="006E7233"/>
    <w:rsid w:val="006E7625"/>
    <w:rsid w:val="006F06E9"/>
    <w:rsid w:val="006F09F0"/>
    <w:rsid w:val="006F0C15"/>
    <w:rsid w:val="006F50A9"/>
    <w:rsid w:val="006F550E"/>
    <w:rsid w:val="006F57A7"/>
    <w:rsid w:val="007023F6"/>
    <w:rsid w:val="00704930"/>
    <w:rsid w:val="00705517"/>
    <w:rsid w:val="007108BD"/>
    <w:rsid w:val="00715420"/>
    <w:rsid w:val="00723277"/>
    <w:rsid w:val="00724723"/>
    <w:rsid w:val="007259DC"/>
    <w:rsid w:val="00730D9E"/>
    <w:rsid w:val="00732F98"/>
    <w:rsid w:val="00733741"/>
    <w:rsid w:val="00735320"/>
    <w:rsid w:val="00736940"/>
    <w:rsid w:val="00737EB3"/>
    <w:rsid w:val="00754AE5"/>
    <w:rsid w:val="0075507E"/>
    <w:rsid w:val="00755A0D"/>
    <w:rsid w:val="007609A6"/>
    <w:rsid w:val="0076126D"/>
    <w:rsid w:val="00761C5B"/>
    <w:rsid w:val="007623A0"/>
    <w:rsid w:val="00763955"/>
    <w:rsid w:val="00765929"/>
    <w:rsid w:val="00765A70"/>
    <w:rsid w:val="00766227"/>
    <w:rsid w:val="00767748"/>
    <w:rsid w:val="00770FD0"/>
    <w:rsid w:val="0077305B"/>
    <w:rsid w:val="00782027"/>
    <w:rsid w:val="00786972"/>
    <w:rsid w:val="00791DC6"/>
    <w:rsid w:val="007940DE"/>
    <w:rsid w:val="0079771D"/>
    <w:rsid w:val="007A272F"/>
    <w:rsid w:val="007A3E19"/>
    <w:rsid w:val="007A4A80"/>
    <w:rsid w:val="007A68FE"/>
    <w:rsid w:val="007B2A05"/>
    <w:rsid w:val="007B5D7D"/>
    <w:rsid w:val="007B5FA7"/>
    <w:rsid w:val="007B7481"/>
    <w:rsid w:val="007C06D4"/>
    <w:rsid w:val="007C2FCF"/>
    <w:rsid w:val="007D2715"/>
    <w:rsid w:val="007D34A7"/>
    <w:rsid w:val="007D4A18"/>
    <w:rsid w:val="007D74A0"/>
    <w:rsid w:val="007E138B"/>
    <w:rsid w:val="007E320E"/>
    <w:rsid w:val="007E53CB"/>
    <w:rsid w:val="007E6EBA"/>
    <w:rsid w:val="007E6FF2"/>
    <w:rsid w:val="007F2425"/>
    <w:rsid w:val="007F3F31"/>
    <w:rsid w:val="007F46EA"/>
    <w:rsid w:val="00803900"/>
    <w:rsid w:val="00806146"/>
    <w:rsid w:val="00806469"/>
    <w:rsid w:val="00806C5A"/>
    <w:rsid w:val="00807204"/>
    <w:rsid w:val="008117BC"/>
    <w:rsid w:val="00811DE5"/>
    <w:rsid w:val="00812B3A"/>
    <w:rsid w:val="00814FA0"/>
    <w:rsid w:val="00815C4E"/>
    <w:rsid w:val="00834D01"/>
    <w:rsid w:val="00837957"/>
    <w:rsid w:val="00841BFD"/>
    <w:rsid w:val="00846B72"/>
    <w:rsid w:val="008472C5"/>
    <w:rsid w:val="00847F5E"/>
    <w:rsid w:val="00851060"/>
    <w:rsid w:val="00853A9D"/>
    <w:rsid w:val="00861969"/>
    <w:rsid w:val="00864E5F"/>
    <w:rsid w:val="00866C38"/>
    <w:rsid w:val="008722E6"/>
    <w:rsid w:val="00873244"/>
    <w:rsid w:val="00874CFE"/>
    <w:rsid w:val="00875E80"/>
    <w:rsid w:val="008765E5"/>
    <w:rsid w:val="0088029A"/>
    <w:rsid w:val="0088176D"/>
    <w:rsid w:val="00894AE4"/>
    <w:rsid w:val="00894B39"/>
    <w:rsid w:val="008A13A7"/>
    <w:rsid w:val="008A156C"/>
    <w:rsid w:val="008A3330"/>
    <w:rsid w:val="008A411B"/>
    <w:rsid w:val="008B1A2A"/>
    <w:rsid w:val="008B36CA"/>
    <w:rsid w:val="008B5428"/>
    <w:rsid w:val="008C20D3"/>
    <w:rsid w:val="008D0438"/>
    <w:rsid w:val="008D05D2"/>
    <w:rsid w:val="008D32A3"/>
    <w:rsid w:val="008D44F1"/>
    <w:rsid w:val="008D5002"/>
    <w:rsid w:val="008D6D88"/>
    <w:rsid w:val="008E3103"/>
    <w:rsid w:val="008E7009"/>
    <w:rsid w:val="008F7EEF"/>
    <w:rsid w:val="009013C7"/>
    <w:rsid w:val="00903789"/>
    <w:rsid w:val="00907466"/>
    <w:rsid w:val="009131A4"/>
    <w:rsid w:val="00914D1E"/>
    <w:rsid w:val="0092461A"/>
    <w:rsid w:val="00931F3A"/>
    <w:rsid w:val="009333B9"/>
    <w:rsid w:val="00933799"/>
    <w:rsid w:val="00933D89"/>
    <w:rsid w:val="00934881"/>
    <w:rsid w:val="00936768"/>
    <w:rsid w:val="00943E15"/>
    <w:rsid w:val="0094570D"/>
    <w:rsid w:val="009535A1"/>
    <w:rsid w:val="00953FC3"/>
    <w:rsid w:val="0095527B"/>
    <w:rsid w:val="00956FB1"/>
    <w:rsid w:val="0095758F"/>
    <w:rsid w:val="0096438B"/>
    <w:rsid w:val="0096604F"/>
    <w:rsid w:val="00972C54"/>
    <w:rsid w:val="009761BC"/>
    <w:rsid w:val="00977586"/>
    <w:rsid w:val="00977D1D"/>
    <w:rsid w:val="00977FBB"/>
    <w:rsid w:val="00982552"/>
    <w:rsid w:val="009831BD"/>
    <w:rsid w:val="009831EE"/>
    <w:rsid w:val="00984E63"/>
    <w:rsid w:val="00987FA3"/>
    <w:rsid w:val="00990B61"/>
    <w:rsid w:val="009A0A69"/>
    <w:rsid w:val="009A6373"/>
    <w:rsid w:val="009B2ED4"/>
    <w:rsid w:val="009B6A1C"/>
    <w:rsid w:val="009B7A99"/>
    <w:rsid w:val="009C2A7A"/>
    <w:rsid w:val="009C35D5"/>
    <w:rsid w:val="009C3823"/>
    <w:rsid w:val="009C4C4B"/>
    <w:rsid w:val="009C6E9A"/>
    <w:rsid w:val="009D3432"/>
    <w:rsid w:val="009D4385"/>
    <w:rsid w:val="009D67C9"/>
    <w:rsid w:val="009F2804"/>
    <w:rsid w:val="009F3885"/>
    <w:rsid w:val="009F6CCE"/>
    <w:rsid w:val="009F70DD"/>
    <w:rsid w:val="00A00E2A"/>
    <w:rsid w:val="00A02F41"/>
    <w:rsid w:val="00A0331D"/>
    <w:rsid w:val="00A0776A"/>
    <w:rsid w:val="00A0798B"/>
    <w:rsid w:val="00A13880"/>
    <w:rsid w:val="00A14BE7"/>
    <w:rsid w:val="00A346EF"/>
    <w:rsid w:val="00A356C6"/>
    <w:rsid w:val="00A43B69"/>
    <w:rsid w:val="00A46208"/>
    <w:rsid w:val="00A50096"/>
    <w:rsid w:val="00A50281"/>
    <w:rsid w:val="00A53BB2"/>
    <w:rsid w:val="00A5477E"/>
    <w:rsid w:val="00A54D00"/>
    <w:rsid w:val="00A55626"/>
    <w:rsid w:val="00A57079"/>
    <w:rsid w:val="00A610C9"/>
    <w:rsid w:val="00A618C8"/>
    <w:rsid w:val="00A74E5A"/>
    <w:rsid w:val="00A85F1F"/>
    <w:rsid w:val="00A86B90"/>
    <w:rsid w:val="00A926BB"/>
    <w:rsid w:val="00A94175"/>
    <w:rsid w:val="00AA3BC1"/>
    <w:rsid w:val="00AA3FE8"/>
    <w:rsid w:val="00AA50BA"/>
    <w:rsid w:val="00AA70FE"/>
    <w:rsid w:val="00AB3BE7"/>
    <w:rsid w:val="00AB41EB"/>
    <w:rsid w:val="00AB432A"/>
    <w:rsid w:val="00AB5CAA"/>
    <w:rsid w:val="00AB65CC"/>
    <w:rsid w:val="00AB7C2B"/>
    <w:rsid w:val="00AC0568"/>
    <w:rsid w:val="00AC1D40"/>
    <w:rsid w:val="00AC7275"/>
    <w:rsid w:val="00AC7ED1"/>
    <w:rsid w:val="00AD14CA"/>
    <w:rsid w:val="00AE0FFF"/>
    <w:rsid w:val="00AE10AD"/>
    <w:rsid w:val="00AE222B"/>
    <w:rsid w:val="00AE4E51"/>
    <w:rsid w:val="00AE5247"/>
    <w:rsid w:val="00AE52D0"/>
    <w:rsid w:val="00AE766E"/>
    <w:rsid w:val="00AF0E63"/>
    <w:rsid w:val="00AF1506"/>
    <w:rsid w:val="00AF462D"/>
    <w:rsid w:val="00AF4926"/>
    <w:rsid w:val="00AF6195"/>
    <w:rsid w:val="00B009A9"/>
    <w:rsid w:val="00B017D6"/>
    <w:rsid w:val="00B06C78"/>
    <w:rsid w:val="00B076A0"/>
    <w:rsid w:val="00B1218D"/>
    <w:rsid w:val="00B15589"/>
    <w:rsid w:val="00B16CC2"/>
    <w:rsid w:val="00B17C3B"/>
    <w:rsid w:val="00B22DC3"/>
    <w:rsid w:val="00B353C1"/>
    <w:rsid w:val="00B427E1"/>
    <w:rsid w:val="00B43733"/>
    <w:rsid w:val="00B44CF4"/>
    <w:rsid w:val="00B4677C"/>
    <w:rsid w:val="00B46A34"/>
    <w:rsid w:val="00B475C7"/>
    <w:rsid w:val="00B5439D"/>
    <w:rsid w:val="00B5772C"/>
    <w:rsid w:val="00B60873"/>
    <w:rsid w:val="00B63858"/>
    <w:rsid w:val="00B63AE5"/>
    <w:rsid w:val="00B64325"/>
    <w:rsid w:val="00B645C7"/>
    <w:rsid w:val="00B64BFB"/>
    <w:rsid w:val="00B73FE0"/>
    <w:rsid w:val="00B75D1F"/>
    <w:rsid w:val="00B772BE"/>
    <w:rsid w:val="00B77B23"/>
    <w:rsid w:val="00B95A0E"/>
    <w:rsid w:val="00BA07D0"/>
    <w:rsid w:val="00BA0DA0"/>
    <w:rsid w:val="00BA1A9D"/>
    <w:rsid w:val="00BA2C7E"/>
    <w:rsid w:val="00BA366D"/>
    <w:rsid w:val="00BA4133"/>
    <w:rsid w:val="00BA4A15"/>
    <w:rsid w:val="00BB1B99"/>
    <w:rsid w:val="00BB40EB"/>
    <w:rsid w:val="00BB5D1C"/>
    <w:rsid w:val="00BB643C"/>
    <w:rsid w:val="00BC16F4"/>
    <w:rsid w:val="00BC1A65"/>
    <w:rsid w:val="00BC4E63"/>
    <w:rsid w:val="00BC548C"/>
    <w:rsid w:val="00BD3081"/>
    <w:rsid w:val="00BD44C5"/>
    <w:rsid w:val="00BD4CD3"/>
    <w:rsid w:val="00BD568F"/>
    <w:rsid w:val="00BD789A"/>
    <w:rsid w:val="00BE0C5C"/>
    <w:rsid w:val="00BE1268"/>
    <w:rsid w:val="00BE1A48"/>
    <w:rsid w:val="00BE1A91"/>
    <w:rsid w:val="00BE2C6B"/>
    <w:rsid w:val="00BE2E16"/>
    <w:rsid w:val="00BE3CA7"/>
    <w:rsid w:val="00BE45EB"/>
    <w:rsid w:val="00BF2F0E"/>
    <w:rsid w:val="00BF3A23"/>
    <w:rsid w:val="00BF3E16"/>
    <w:rsid w:val="00BF6A65"/>
    <w:rsid w:val="00C1363B"/>
    <w:rsid w:val="00C13D7E"/>
    <w:rsid w:val="00C14B61"/>
    <w:rsid w:val="00C152F1"/>
    <w:rsid w:val="00C207EF"/>
    <w:rsid w:val="00C229A9"/>
    <w:rsid w:val="00C34398"/>
    <w:rsid w:val="00C44E4C"/>
    <w:rsid w:val="00C44F50"/>
    <w:rsid w:val="00C450B4"/>
    <w:rsid w:val="00C45595"/>
    <w:rsid w:val="00C51CB5"/>
    <w:rsid w:val="00C561AB"/>
    <w:rsid w:val="00C56A73"/>
    <w:rsid w:val="00C6065F"/>
    <w:rsid w:val="00C62EEC"/>
    <w:rsid w:val="00C63C18"/>
    <w:rsid w:val="00C64594"/>
    <w:rsid w:val="00C656AE"/>
    <w:rsid w:val="00C67FEA"/>
    <w:rsid w:val="00C702A4"/>
    <w:rsid w:val="00C826EE"/>
    <w:rsid w:val="00C87077"/>
    <w:rsid w:val="00C917B4"/>
    <w:rsid w:val="00C92E7B"/>
    <w:rsid w:val="00C9529B"/>
    <w:rsid w:val="00C9787C"/>
    <w:rsid w:val="00CA3923"/>
    <w:rsid w:val="00CA4B19"/>
    <w:rsid w:val="00CA7E4A"/>
    <w:rsid w:val="00CB0FE9"/>
    <w:rsid w:val="00CB29DA"/>
    <w:rsid w:val="00CC00E3"/>
    <w:rsid w:val="00CC26E2"/>
    <w:rsid w:val="00CC33C9"/>
    <w:rsid w:val="00CC7172"/>
    <w:rsid w:val="00CD1653"/>
    <w:rsid w:val="00CD56CE"/>
    <w:rsid w:val="00CD5BCF"/>
    <w:rsid w:val="00CD7AE3"/>
    <w:rsid w:val="00CE2A01"/>
    <w:rsid w:val="00CE5EA4"/>
    <w:rsid w:val="00CF0119"/>
    <w:rsid w:val="00CF763F"/>
    <w:rsid w:val="00D01454"/>
    <w:rsid w:val="00D02D5F"/>
    <w:rsid w:val="00D0784E"/>
    <w:rsid w:val="00D12BBE"/>
    <w:rsid w:val="00D1796F"/>
    <w:rsid w:val="00D17E9C"/>
    <w:rsid w:val="00D26DB4"/>
    <w:rsid w:val="00D34B83"/>
    <w:rsid w:val="00D37130"/>
    <w:rsid w:val="00D37DC4"/>
    <w:rsid w:val="00D46DD0"/>
    <w:rsid w:val="00D473F5"/>
    <w:rsid w:val="00D562FF"/>
    <w:rsid w:val="00D60139"/>
    <w:rsid w:val="00D60D14"/>
    <w:rsid w:val="00D63362"/>
    <w:rsid w:val="00D64386"/>
    <w:rsid w:val="00D718E0"/>
    <w:rsid w:val="00D72A6F"/>
    <w:rsid w:val="00D73701"/>
    <w:rsid w:val="00D75539"/>
    <w:rsid w:val="00D770AB"/>
    <w:rsid w:val="00D83ED6"/>
    <w:rsid w:val="00D87274"/>
    <w:rsid w:val="00D9449A"/>
    <w:rsid w:val="00DA4B55"/>
    <w:rsid w:val="00DA5542"/>
    <w:rsid w:val="00DA5B24"/>
    <w:rsid w:val="00DB0F32"/>
    <w:rsid w:val="00DB1A30"/>
    <w:rsid w:val="00DB3399"/>
    <w:rsid w:val="00DC49BC"/>
    <w:rsid w:val="00DD65D2"/>
    <w:rsid w:val="00DE1D3E"/>
    <w:rsid w:val="00DE3F32"/>
    <w:rsid w:val="00DE5330"/>
    <w:rsid w:val="00DE6C13"/>
    <w:rsid w:val="00DF095A"/>
    <w:rsid w:val="00DF10E9"/>
    <w:rsid w:val="00DF7E5D"/>
    <w:rsid w:val="00E05EC7"/>
    <w:rsid w:val="00E0741D"/>
    <w:rsid w:val="00E07B40"/>
    <w:rsid w:val="00E11A63"/>
    <w:rsid w:val="00E12397"/>
    <w:rsid w:val="00E1490B"/>
    <w:rsid w:val="00E14F98"/>
    <w:rsid w:val="00E16C4C"/>
    <w:rsid w:val="00E20069"/>
    <w:rsid w:val="00E22CB5"/>
    <w:rsid w:val="00E24A8B"/>
    <w:rsid w:val="00E27166"/>
    <w:rsid w:val="00E3233B"/>
    <w:rsid w:val="00E32347"/>
    <w:rsid w:val="00E323DF"/>
    <w:rsid w:val="00E335B0"/>
    <w:rsid w:val="00E35257"/>
    <w:rsid w:val="00E42A98"/>
    <w:rsid w:val="00E42BD1"/>
    <w:rsid w:val="00E430D9"/>
    <w:rsid w:val="00E4397B"/>
    <w:rsid w:val="00E450BA"/>
    <w:rsid w:val="00E47B70"/>
    <w:rsid w:val="00E501E3"/>
    <w:rsid w:val="00E53A48"/>
    <w:rsid w:val="00E55EB7"/>
    <w:rsid w:val="00E62E97"/>
    <w:rsid w:val="00E6404F"/>
    <w:rsid w:val="00E64663"/>
    <w:rsid w:val="00E672FA"/>
    <w:rsid w:val="00E858DB"/>
    <w:rsid w:val="00E90D2F"/>
    <w:rsid w:val="00E911D2"/>
    <w:rsid w:val="00E91460"/>
    <w:rsid w:val="00E92577"/>
    <w:rsid w:val="00E95A0E"/>
    <w:rsid w:val="00E95BE5"/>
    <w:rsid w:val="00EA1268"/>
    <w:rsid w:val="00EA4303"/>
    <w:rsid w:val="00EA673A"/>
    <w:rsid w:val="00EA6E4D"/>
    <w:rsid w:val="00EB40B3"/>
    <w:rsid w:val="00EB627D"/>
    <w:rsid w:val="00EB639E"/>
    <w:rsid w:val="00EB7C5B"/>
    <w:rsid w:val="00EC060A"/>
    <w:rsid w:val="00EC33B6"/>
    <w:rsid w:val="00EC70FD"/>
    <w:rsid w:val="00EC76FB"/>
    <w:rsid w:val="00ED2BE8"/>
    <w:rsid w:val="00ED470E"/>
    <w:rsid w:val="00ED51F3"/>
    <w:rsid w:val="00ED5CB5"/>
    <w:rsid w:val="00ED671E"/>
    <w:rsid w:val="00ED6EFC"/>
    <w:rsid w:val="00EE17D3"/>
    <w:rsid w:val="00EE3C33"/>
    <w:rsid w:val="00EF6A42"/>
    <w:rsid w:val="00F00A39"/>
    <w:rsid w:val="00F0159B"/>
    <w:rsid w:val="00F06C58"/>
    <w:rsid w:val="00F0757C"/>
    <w:rsid w:val="00F1042C"/>
    <w:rsid w:val="00F10532"/>
    <w:rsid w:val="00F11695"/>
    <w:rsid w:val="00F11D40"/>
    <w:rsid w:val="00F23B28"/>
    <w:rsid w:val="00F2585E"/>
    <w:rsid w:val="00F268A6"/>
    <w:rsid w:val="00F270F4"/>
    <w:rsid w:val="00F279D7"/>
    <w:rsid w:val="00F30A49"/>
    <w:rsid w:val="00F35B22"/>
    <w:rsid w:val="00F3733A"/>
    <w:rsid w:val="00F37B07"/>
    <w:rsid w:val="00F37FC0"/>
    <w:rsid w:val="00F40E4E"/>
    <w:rsid w:val="00F45299"/>
    <w:rsid w:val="00F553E3"/>
    <w:rsid w:val="00F55B1C"/>
    <w:rsid w:val="00F60F0C"/>
    <w:rsid w:val="00F63600"/>
    <w:rsid w:val="00F706D9"/>
    <w:rsid w:val="00F70703"/>
    <w:rsid w:val="00F70C83"/>
    <w:rsid w:val="00F7142C"/>
    <w:rsid w:val="00F72FF9"/>
    <w:rsid w:val="00F74A46"/>
    <w:rsid w:val="00F7665A"/>
    <w:rsid w:val="00F82BA1"/>
    <w:rsid w:val="00F86B7F"/>
    <w:rsid w:val="00F87B88"/>
    <w:rsid w:val="00F908AD"/>
    <w:rsid w:val="00F95492"/>
    <w:rsid w:val="00FA1C2A"/>
    <w:rsid w:val="00FA1F66"/>
    <w:rsid w:val="00FA3340"/>
    <w:rsid w:val="00FB2D32"/>
    <w:rsid w:val="00FB4E4B"/>
    <w:rsid w:val="00FB4EA8"/>
    <w:rsid w:val="00FC1BB9"/>
    <w:rsid w:val="00FC1EE0"/>
    <w:rsid w:val="00FC2BE3"/>
    <w:rsid w:val="00FC7FA1"/>
    <w:rsid w:val="00FE0254"/>
    <w:rsid w:val="00FE2F03"/>
    <w:rsid w:val="00FF17E4"/>
    <w:rsid w:val="00FF18DC"/>
    <w:rsid w:val="00FF4713"/>
    <w:rsid w:val="00FF55B0"/>
    <w:rsid w:val="00FF64DE"/>
    <w:rsid w:val="00FF788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3ABC"/>
  <w15:chartTrackingRefBased/>
  <w15:docId w15:val="{B51683A7-04B5-468B-BCA1-30FBE4FA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F3391"/>
    <w:pPr>
      <w:keepNext/>
      <w:numPr>
        <w:numId w:val="3"/>
      </w:numPr>
      <w:spacing w:before="360" w:after="240" w:line="240" w:lineRule="auto"/>
      <w:jc w:val="both"/>
      <w:outlineLvl w:val="0"/>
    </w:pPr>
    <w:rPr>
      <w:rFonts w:ascii="Arial" w:eastAsia="Times New Roman" w:hAnsi="Arial" w:cs="Arial"/>
      <w:b/>
      <w:bCs/>
      <w:smallCaps/>
      <w:kern w:val="28"/>
      <w:sz w:val="32"/>
      <w:szCs w:val="32"/>
      <w:lang w:eastAsia="fr-FR"/>
    </w:rPr>
  </w:style>
  <w:style w:type="paragraph" w:styleId="Titre2">
    <w:name w:val="heading 2"/>
    <w:basedOn w:val="Normal"/>
    <w:next w:val="Normal"/>
    <w:link w:val="Titre2Car"/>
    <w:qFormat/>
    <w:rsid w:val="004F3391"/>
    <w:pPr>
      <w:keepNext/>
      <w:numPr>
        <w:ilvl w:val="1"/>
        <w:numId w:val="3"/>
      </w:numPr>
      <w:spacing w:before="120" w:after="120" w:line="240" w:lineRule="auto"/>
      <w:ind w:left="680"/>
      <w:jc w:val="both"/>
      <w:outlineLvl w:val="1"/>
    </w:pPr>
    <w:rPr>
      <w:rFonts w:ascii="Arial" w:eastAsia="Times New Roman" w:hAnsi="Arial" w:cs="Arial"/>
      <w:b/>
      <w:bCs/>
      <w:i/>
      <w:iCs/>
      <w:smallCaps/>
      <w:sz w:val="28"/>
      <w:szCs w:val="28"/>
      <w:lang w:eastAsia="fr-FR"/>
    </w:rPr>
  </w:style>
  <w:style w:type="paragraph" w:styleId="Titre3">
    <w:name w:val="heading 3"/>
    <w:basedOn w:val="Normal"/>
    <w:next w:val="Normal"/>
    <w:link w:val="Titre3Car"/>
    <w:qFormat/>
    <w:rsid w:val="004F3391"/>
    <w:pPr>
      <w:keepNext/>
      <w:numPr>
        <w:ilvl w:val="2"/>
        <w:numId w:val="3"/>
      </w:numPr>
      <w:spacing w:before="240" w:after="240" w:line="240" w:lineRule="auto"/>
      <w:jc w:val="both"/>
      <w:outlineLvl w:val="2"/>
    </w:pPr>
    <w:rPr>
      <w:rFonts w:ascii="Arial Narrow" w:eastAsia="Times New Roman" w:hAnsi="Arial Narrow" w:cs="Arial"/>
      <w:b/>
      <w:bCs/>
      <w:smallCaps/>
      <w:sz w:val="28"/>
      <w:szCs w:val="28"/>
      <w:lang w:eastAsia="fr-FR"/>
    </w:rPr>
  </w:style>
  <w:style w:type="paragraph" w:styleId="Titre4">
    <w:name w:val="heading 4"/>
    <w:basedOn w:val="Normal"/>
    <w:next w:val="Normal"/>
    <w:link w:val="Titre4Car"/>
    <w:qFormat/>
    <w:rsid w:val="004F3391"/>
    <w:pPr>
      <w:keepNext/>
      <w:numPr>
        <w:ilvl w:val="3"/>
        <w:numId w:val="3"/>
      </w:numPr>
      <w:tabs>
        <w:tab w:val="num" w:pos="0"/>
      </w:tabs>
      <w:spacing w:before="120" w:after="120" w:line="240" w:lineRule="auto"/>
      <w:ind w:left="2836"/>
      <w:jc w:val="both"/>
      <w:outlineLvl w:val="3"/>
    </w:pPr>
    <w:rPr>
      <w:rFonts w:ascii="Arial Narrow" w:eastAsia="Times New Roman" w:hAnsi="Arial Narrow" w:cs="Arial"/>
      <w:b/>
      <w:bCs/>
      <w:i/>
      <w:iCs/>
      <w:smallCaps/>
      <w:sz w:val="28"/>
      <w:szCs w:val="28"/>
      <w:lang w:eastAsia="fr-FR"/>
    </w:rPr>
  </w:style>
  <w:style w:type="paragraph" w:styleId="Titre5">
    <w:name w:val="heading 5"/>
    <w:basedOn w:val="Normal"/>
    <w:next w:val="Normal"/>
    <w:link w:val="Titre5Car"/>
    <w:qFormat/>
    <w:rsid w:val="004F3391"/>
    <w:pPr>
      <w:keepNext/>
      <w:numPr>
        <w:ilvl w:val="4"/>
        <w:numId w:val="3"/>
      </w:numPr>
      <w:tabs>
        <w:tab w:val="num" w:pos="0"/>
      </w:tabs>
      <w:spacing w:before="120" w:after="120" w:line="240" w:lineRule="auto"/>
      <w:jc w:val="both"/>
      <w:outlineLvl w:val="4"/>
    </w:pPr>
    <w:rPr>
      <w:rFonts w:ascii="Arial" w:eastAsia="Times New Roman" w:hAnsi="Arial" w:cs="Arial"/>
      <w:b/>
      <w:bCs/>
      <w:sz w:val="24"/>
      <w:szCs w:val="24"/>
      <w:lang w:eastAsia="fr-FR"/>
    </w:rPr>
  </w:style>
  <w:style w:type="paragraph" w:styleId="Titre6">
    <w:name w:val="heading 6"/>
    <w:basedOn w:val="Normal"/>
    <w:next w:val="Normal"/>
    <w:link w:val="Titre6Car"/>
    <w:qFormat/>
    <w:rsid w:val="004F3391"/>
    <w:pPr>
      <w:keepNext/>
      <w:numPr>
        <w:ilvl w:val="5"/>
        <w:numId w:val="3"/>
      </w:numPr>
      <w:tabs>
        <w:tab w:val="num" w:pos="0"/>
      </w:tabs>
      <w:spacing w:before="120" w:after="120" w:line="240" w:lineRule="auto"/>
      <w:jc w:val="both"/>
      <w:outlineLvl w:val="5"/>
    </w:pPr>
    <w:rPr>
      <w:rFonts w:ascii="Arial" w:eastAsia="Times New Roman" w:hAnsi="Arial" w:cs="Arial"/>
      <w:i/>
      <w:iCs/>
      <w:sz w:val="24"/>
      <w:szCs w:val="24"/>
      <w:lang w:eastAsia="fr-FR"/>
    </w:rPr>
  </w:style>
  <w:style w:type="paragraph" w:styleId="Titre7">
    <w:name w:val="heading 7"/>
    <w:basedOn w:val="Normal"/>
    <w:next w:val="Normal"/>
    <w:link w:val="Titre7Car"/>
    <w:qFormat/>
    <w:rsid w:val="004F3391"/>
    <w:pPr>
      <w:numPr>
        <w:ilvl w:val="6"/>
        <w:numId w:val="3"/>
      </w:numPr>
      <w:tabs>
        <w:tab w:val="num" w:pos="0"/>
      </w:tabs>
      <w:spacing w:before="120" w:after="120" w:line="240" w:lineRule="auto"/>
      <w:jc w:val="both"/>
      <w:outlineLvl w:val="6"/>
    </w:pPr>
    <w:rPr>
      <w:rFonts w:ascii="Arial" w:eastAsia="Times New Roman" w:hAnsi="Arial" w:cs="Arial"/>
      <w:sz w:val="20"/>
      <w:szCs w:val="20"/>
      <w:lang w:eastAsia="fr-FR"/>
    </w:rPr>
  </w:style>
  <w:style w:type="paragraph" w:styleId="Titre8">
    <w:name w:val="heading 8"/>
    <w:basedOn w:val="Normal"/>
    <w:next w:val="Normal"/>
    <w:link w:val="Titre8Car"/>
    <w:qFormat/>
    <w:rsid w:val="004F3391"/>
    <w:pPr>
      <w:numPr>
        <w:ilvl w:val="7"/>
        <w:numId w:val="3"/>
      </w:numPr>
      <w:tabs>
        <w:tab w:val="num" w:pos="0"/>
      </w:tabs>
      <w:spacing w:before="120" w:after="120" w:line="240" w:lineRule="auto"/>
      <w:jc w:val="both"/>
      <w:outlineLvl w:val="7"/>
    </w:pPr>
    <w:rPr>
      <w:rFonts w:ascii="Arial" w:eastAsia="Times New Roman" w:hAnsi="Arial" w:cs="Arial"/>
      <w:i/>
      <w:iCs/>
      <w:sz w:val="20"/>
      <w:szCs w:val="20"/>
      <w:lang w:eastAsia="fr-FR"/>
    </w:rPr>
  </w:style>
  <w:style w:type="paragraph" w:styleId="Titre9">
    <w:name w:val="heading 9"/>
    <w:basedOn w:val="Normal"/>
    <w:next w:val="Normal"/>
    <w:link w:val="Titre9Car"/>
    <w:qFormat/>
    <w:rsid w:val="004F3391"/>
    <w:pPr>
      <w:numPr>
        <w:ilvl w:val="8"/>
        <w:numId w:val="3"/>
      </w:numPr>
      <w:tabs>
        <w:tab w:val="num" w:pos="0"/>
      </w:tabs>
      <w:spacing w:before="120" w:after="120" w:line="240" w:lineRule="auto"/>
      <w:jc w:val="both"/>
      <w:outlineLvl w:val="8"/>
    </w:pPr>
    <w:rPr>
      <w:rFonts w:ascii="Arial" w:eastAsia="Times New Roman" w:hAnsi="Arial" w:cs="Arial"/>
      <w:i/>
      <w:i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s,List Paragraph,Liste à puce - SC,Paragraphe de liste11,Premier,titre 3,Bullets,Bullet List,bullet 1,Normal bullet 2,Paragraphe,Bullet list,References,Paragraphe de liste du rapport,Paragraphe à Puce,Medium Grid 1 - Accent 21"/>
    <w:basedOn w:val="Normal"/>
    <w:link w:val="ParagraphedelisteCar"/>
    <w:uiPriority w:val="34"/>
    <w:qFormat/>
    <w:rsid w:val="00094F03"/>
    <w:pPr>
      <w:ind w:left="720"/>
      <w:contextualSpacing/>
    </w:p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NotedebasdepageCar"/>
    <w:uiPriority w:val="99"/>
    <w:unhideWhenUsed/>
    <w:rsid w:val="00934881"/>
    <w:pPr>
      <w:spacing w:after="0" w:line="240" w:lineRule="auto"/>
    </w:pPr>
    <w:rPr>
      <w:sz w:val="20"/>
      <w:szCs w:val="20"/>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basedOn w:val="Policepardfaut"/>
    <w:link w:val="Notedebasdepage"/>
    <w:uiPriority w:val="99"/>
    <w:rsid w:val="00934881"/>
    <w:rPr>
      <w:sz w:val="20"/>
      <w:szCs w:val="20"/>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tref,BVI fnr,16 Point,Superscript 6 Point"/>
    <w:basedOn w:val="Policepardfaut"/>
    <w:uiPriority w:val="99"/>
    <w:unhideWhenUsed/>
    <w:rsid w:val="00934881"/>
    <w:rPr>
      <w:vertAlign w:val="superscript"/>
    </w:rPr>
  </w:style>
  <w:style w:type="character" w:styleId="Lienhypertexte">
    <w:name w:val="Hyperlink"/>
    <w:basedOn w:val="Policepardfaut"/>
    <w:uiPriority w:val="99"/>
    <w:unhideWhenUsed/>
    <w:rsid w:val="00934881"/>
    <w:rPr>
      <w:color w:val="0563C1" w:themeColor="hyperlink"/>
      <w:u w:val="single"/>
    </w:rPr>
  </w:style>
  <w:style w:type="character" w:styleId="Marquedecommentaire">
    <w:name w:val="annotation reference"/>
    <w:basedOn w:val="Policepardfaut"/>
    <w:uiPriority w:val="99"/>
    <w:semiHidden/>
    <w:unhideWhenUsed/>
    <w:rsid w:val="00934881"/>
    <w:rPr>
      <w:sz w:val="16"/>
      <w:szCs w:val="16"/>
    </w:rPr>
  </w:style>
  <w:style w:type="paragraph" w:styleId="Commentaire">
    <w:name w:val="annotation text"/>
    <w:basedOn w:val="Normal"/>
    <w:link w:val="CommentaireCar"/>
    <w:uiPriority w:val="99"/>
    <w:unhideWhenUsed/>
    <w:rsid w:val="00934881"/>
    <w:pPr>
      <w:spacing w:line="240" w:lineRule="auto"/>
    </w:pPr>
    <w:rPr>
      <w:sz w:val="20"/>
      <w:szCs w:val="20"/>
    </w:rPr>
  </w:style>
  <w:style w:type="character" w:customStyle="1" w:styleId="CommentaireCar">
    <w:name w:val="Commentaire Car"/>
    <w:basedOn w:val="Policepardfaut"/>
    <w:link w:val="Commentaire"/>
    <w:uiPriority w:val="99"/>
    <w:rsid w:val="00934881"/>
    <w:rPr>
      <w:sz w:val="20"/>
      <w:szCs w:val="20"/>
    </w:rPr>
  </w:style>
  <w:style w:type="paragraph" w:styleId="Textedebulles">
    <w:name w:val="Balloon Text"/>
    <w:basedOn w:val="Normal"/>
    <w:link w:val="TextedebullesCar"/>
    <w:uiPriority w:val="99"/>
    <w:semiHidden/>
    <w:unhideWhenUsed/>
    <w:rsid w:val="009348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4881"/>
    <w:rPr>
      <w:rFonts w:ascii="Segoe UI" w:hAnsi="Segoe UI" w:cs="Segoe UI"/>
      <w:sz w:val="18"/>
      <w:szCs w:val="18"/>
    </w:rPr>
  </w:style>
  <w:style w:type="character" w:customStyle="1" w:styleId="ParagraphedelisteCar">
    <w:name w:val="Paragraphe de liste Car"/>
    <w:aliases w:val="Listes Car,List Paragraph Car,Liste à puce - SC Car,Paragraphe de liste11 Car,Premier Car,titre 3 Car,Bullets Car,Bullet List Car,bullet 1 Car,Normal bullet 2 Car,Paragraphe Car,Bullet list Car,References Car"/>
    <w:link w:val="Paragraphedeliste"/>
    <w:uiPriority w:val="34"/>
    <w:qFormat/>
    <w:locked/>
    <w:rsid w:val="002D361A"/>
  </w:style>
  <w:style w:type="table" w:styleId="Grilledutableau">
    <w:name w:val="Table Grid"/>
    <w:basedOn w:val="TableauNormal"/>
    <w:uiPriority w:val="39"/>
    <w:rsid w:val="004F3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4F3391"/>
    <w:rPr>
      <w:rFonts w:ascii="Arial" w:eastAsia="Times New Roman" w:hAnsi="Arial" w:cs="Arial"/>
      <w:b/>
      <w:bCs/>
      <w:smallCaps/>
      <w:kern w:val="28"/>
      <w:sz w:val="32"/>
      <w:szCs w:val="32"/>
      <w:lang w:eastAsia="fr-FR"/>
    </w:rPr>
  </w:style>
  <w:style w:type="character" w:customStyle="1" w:styleId="Titre2Car">
    <w:name w:val="Titre 2 Car"/>
    <w:basedOn w:val="Policepardfaut"/>
    <w:link w:val="Titre2"/>
    <w:rsid w:val="004F3391"/>
    <w:rPr>
      <w:rFonts w:ascii="Arial" w:eastAsia="Times New Roman" w:hAnsi="Arial" w:cs="Arial"/>
      <w:b/>
      <w:bCs/>
      <w:i/>
      <w:iCs/>
      <w:smallCaps/>
      <w:sz w:val="28"/>
      <w:szCs w:val="28"/>
      <w:lang w:eastAsia="fr-FR"/>
    </w:rPr>
  </w:style>
  <w:style w:type="character" w:customStyle="1" w:styleId="Titre3Car">
    <w:name w:val="Titre 3 Car"/>
    <w:basedOn w:val="Policepardfaut"/>
    <w:link w:val="Titre3"/>
    <w:rsid w:val="004F3391"/>
    <w:rPr>
      <w:rFonts w:ascii="Arial Narrow" w:eastAsia="Times New Roman" w:hAnsi="Arial Narrow" w:cs="Arial"/>
      <w:b/>
      <w:bCs/>
      <w:smallCaps/>
      <w:sz w:val="28"/>
      <w:szCs w:val="28"/>
      <w:lang w:eastAsia="fr-FR"/>
    </w:rPr>
  </w:style>
  <w:style w:type="character" w:customStyle="1" w:styleId="Titre4Car">
    <w:name w:val="Titre 4 Car"/>
    <w:basedOn w:val="Policepardfaut"/>
    <w:link w:val="Titre4"/>
    <w:rsid w:val="004F3391"/>
    <w:rPr>
      <w:rFonts w:ascii="Arial Narrow" w:eastAsia="Times New Roman" w:hAnsi="Arial Narrow" w:cs="Arial"/>
      <w:b/>
      <w:bCs/>
      <w:i/>
      <w:iCs/>
      <w:smallCaps/>
      <w:sz w:val="28"/>
      <w:szCs w:val="28"/>
      <w:lang w:eastAsia="fr-FR"/>
    </w:rPr>
  </w:style>
  <w:style w:type="character" w:customStyle="1" w:styleId="Titre5Car">
    <w:name w:val="Titre 5 Car"/>
    <w:basedOn w:val="Policepardfaut"/>
    <w:link w:val="Titre5"/>
    <w:rsid w:val="004F3391"/>
    <w:rPr>
      <w:rFonts w:ascii="Arial" w:eastAsia="Times New Roman" w:hAnsi="Arial" w:cs="Arial"/>
      <w:b/>
      <w:bCs/>
      <w:sz w:val="24"/>
      <w:szCs w:val="24"/>
      <w:lang w:eastAsia="fr-FR"/>
    </w:rPr>
  </w:style>
  <w:style w:type="character" w:customStyle="1" w:styleId="Titre6Car">
    <w:name w:val="Titre 6 Car"/>
    <w:basedOn w:val="Policepardfaut"/>
    <w:link w:val="Titre6"/>
    <w:rsid w:val="004F3391"/>
    <w:rPr>
      <w:rFonts w:ascii="Arial" w:eastAsia="Times New Roman" w:hAnsi="Arial" w:cs="Arial"/>
      <w:i/>
      <w:iCs/>
      <w:sz w:val="24"/>
      <w:szCs w:val="24"/>
      <w:lang w:eastAsia="fr-FR"/>
    </w:rPr>
  </w:style>
  <w:style w:type="character" w:customStyle="1" w:styleId="Titre7Car">
    <w:name w:val="Titre 7 Car"/>
    <w:basedOn w:val="Policepardfaut"/>
    <w:link w:val="Titre7"/>
    <w:rsid w:val="004F3391"/>
    <w:rPr>
      <w:rFonts w:ascii="Arial" w:eastAsia="Times New Roman" w:hAnsi="Arial" w:cs="Arial"/>
      <w:sz w:val="20"/>
      <w:szCs w:val="20"/>
      <w:lang w:eastAsia="fr-FR"/>
    </w:rPr>
  </w:style>
  <w:style w:type="character" w:customStyle="1" w:styleId="Titre8Car">
    <w:name w:val="Titre 8 Car"/>
    <w:basedOn w:val="Policepardfaut"/>
    <w:link w:val="Titre8"/>
    <w:rsid w:val="004F3391"/>
    <w:rPr>
      <w:rFonts w:ascii="Arial" w:eastAsia="Times New Roman" w:hAnsi="Arial" w:cs="Arial"/>
      <w:i/>
      <w:iCs/>
      <w:sz w:val="20"/>
      <w:szCs w:val="20"/>
      <w:lang w:eastAsia="fr-FR"/>
    </w:rPr>
  </w:style>
  <w:style w:type="character" w:customStyle="1" w:styleId="Titre9Car">
    <w:name w:val="Titre 9 Car"/>
    <w:basedOn w:val="Policepardfaut"/>
    <w:link w:val="Titre9"/>
    <w:rsid w:val="004F3391"/>
    <w:rPr>
      <w:rFonts w:ascii="Arial" w:eastAsia="Times New Roman" w:hAnsi="Arial" w:cs="Arial"/>
      <w:i/>
      <w:iCs/>
      <w:sz w:val="18"/>
      <w:szCs w:val="18"/>
      <w:lang w:eastAsia="fr-FR"/>
    </w:rPr>
  </w:style>
  <w:style w:type="paragraph" w:customStyle="1" w:styleId="aaa">
    <w:name w:val="a.a.a"/>
    <w:basedOn w:val="Normal"/>
    <w:link w:val="aaaCar"/>
    <w:qFormat/>
    <w:rsid w:val="00102205"/>
    <w:pPr>
      <w:spacing w:line="276" w:lineRule="auto"/>
      <w:jc w:val="both"/>
    </w:pPr>
    <w:rPr>
      <w:bCs/>
    </w:rPr>
  </w:style>
  <w:style w:type="paragraph" w:styleId="Objetducommentaire">
    <w:name w:val="annotation subject"/>
    <w:basedOn w:val="Commentaire"/>
    <w:next w:val="Commentaire"/>
    <w:link w:val="ObjetducommentaireCar"/>
    <w:uiPriority w:val="99"/>
    <w:semiHidden/>
    <w:unhideWhenUsed/>
    <w:rsid w:val="00102205"/>
    <w:rPr>
      <w:b/>
      <w:bCs/>
    </w:rPr>
  </w:style>
  <w:style w:type="character" w:customStyle="1" w:styleId="aaaCar">
    <w:name w:val="a.a.a Car"/>
    <w:basedOn w:val="Policepardfaut"/>
    <w:link w:val="aaa"/>
    <w:rsid w:val="00102205"/>
    <w:rPr>
      <w:bCs/>
    </w:rPr>
  </w:style>
  <w:style w:type="character" w:customStyle="1" w:styleId="ObjetducommentaireCar">
    <w:name w:val="Objet du commentaire Car"/>
    <w:basedOn w:val="CommentaireCar"/>
    <w:link w:val="Objetducommentaire"/>
    <w:uiPriority w:val="99"/>
    <w:semiHidden/>
    <w:rsid w:val="00102205"/>
    <w:rPr>
      <w:b/>
      <w:bCs/>
      <w:sz w:val="20"/>
      <w:szCs w:val="20"/>
    </w:rPr>
  </w:style>
  <w:style w:type="paragraph" w:styleId="NormalWeb">
    <w:name w:val="Normal (Web)"/>
    <w:basedOn w:val="Normal"/>
    <w:uiPriority w:val="99"/>
    <w:unhideWhenUsed/>
    <w:rsid w:val="005D6BD8"/>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5D6BD8"/>
    <w:pPr>
      <w:keepNext/>
      <w:spacing w:after="0" w:line="240" w:lineRule="auto"/>
      <w:jc w:val="center"/>
    </w:pPr>
    <w:rPr>
      <w:rFonts w:ascii="Verdana" w:eastAsia="Times New Roman" w:hAnsi="Verdana" w:cs="Arial Unicode MS"/>
      <w:i/>
      <w:iCs/>
      <w:color w:val="002060"/>
      <w:sz w:val="18"/>
      <w:szCs w:val="18"/>
      <w:lang w:eastAsia="fr-FR"/>
    </w:rPr>
  </w:style>
  <w:style w:type="character" w:styleId="Textedelespacerserv">
    <w:name w:val="Placeholder Text"/>
    <w:basedOn w:val="Policepardfaut"/>
    <w:uiPriority w:val="99"/>
    <w:semiHidden/>
    <w:rsid w:val="006D0BA6"/>
    <w:rPr>
      <w:color w:val="808080"/>
    </w:rPr>
  </w:style>
  <w:style w:type="character" w:styleId="Lienhypertextesuivivisit">
    <w:name w:val="FollowedHyperlink"/>
    <w:basedOn w:val="Policepardfaut"/>
    <w:uiPriority w:val="99"/>
    <w:semiHidden/>
    <w:unhideWhenUsed/>
    <w:rsid w:val="00B645C7"/>
    <w:rPr>
      <w:color w:val="954F72" w:themeColor="followedHyperlink"/>
      <w:u w:val="single"/>
    </w:rPr>
  </w:style>
  <w:style w:type="character" w:styleId="Appeldenotedefin">
    <w:name w:val="endnote reference"/>
    <w:basedOn w:val="Policepardfaut"/>
    <w:uiPriority w:val="99"/>
    <w:semiHidden/>
    <w:unhideWhenUsed/>
    <w:rsid w:val="00E11A63"/>
    <w:rPr>
      <w:vertAlign w:val="superscript"/>
    </w:rPr>
  </w:style>
  <w:style w:type="paragraph" w:styleId="Rvision">
    <w:name w:val="Revision"/>
    <w:hidden/>
    <w:uiPriority w:val="99"/>
    <w:semiHidden/>
    <w:rsid w:val="006E2AC9"/>
    <w:pPr>
      <w:spacing w:after="0" w:line="240" w:lineRule="auto"/>
    </w:pPr>
  </w:style>
  <w:style w:type="table" w:customStyle="1" w:styleId="TableNormal">
    <w:name w:val="Table Normal"/>
    <w:uiPriority w:val="2"/>
    <w:semiHidden/>
    <w:unhideWhenUsed/>
    <w:qFormat/>
    <w:rsid w:val="005B36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ibliographie">
    <w:name w:val="Bibliography"/>
    <w:basedOn w:val="Normal"/>
    <w:next w:val="Normal"/>
    <w:uiPriority w:val="37"/>
    <w:unhideWhenUsed/>
    <w:rsid w:val="00296613"/>
    <w:pPr>
      <w:spacing w:after="0" w:line="240" w:lineRule="auto"/>
      <w:ind w:left="720" w:hanging="720"/>
    </w:pPr>
  </w:style>
  <w:style w:type="character" w:customStyle="1" w:styleId="Mentionnonrsolue1">
    <w:name w:val="Mention non résolue1"/>
    <w:basedOn w:val="Policepardfaut"/>
    <w:uiPriority w:val="99"/>
    <w:semiHidden/>
    <w:unhideWhenUsed/>
    <w:rsid w:val="00465EC3"/>
    <w:rPr>
      <w:color w:val="605E5C"/>
      <w:shd w:val="clear" w:color="auto" w:fill="E1DFDD"/>
    </w:rPr>
  </w:style>
  <w:style w:type="paragraph" w:styleId="TM2">
    <w:name w:val="toc 2"/>
    <w:basedOn w:val="Normal"/>
    <w:next w:val="Normal"/>
    <w:autoRedefine/>
    <w:uiPriority w:val="39"/>
    <w:unhideWhenUsed/>
    <w:rsid w:val="00566820"/>
    <w:pPr>
      <w:spacing w:after="100"/>
      <w:ind w:left="220"/>
    </w:pPr>
  </w:style>
  <w:style w:type="paragraph" w:styleId="TM3">
    <w:name w:val="toc 3"/>
    <w:basedOn w:val="Normal"/>
    <w:next w:val="Normal"/>
    <w:autoRedefine/>
    <w:uiPriority w:val="39"/>
    <w:unhideWhenUsed/>
    <w:rsid w:val="00566820"/>
    <w:pPr>
      <w:spacing w:after="100"/>
      <w:ind w:left="440"/>
    </w:pPr>
  </w:style>
  <w:style w:type="paragraph" w:customStyle="1" w:styleId="Grandtitre">
    <w:name w:val="Grand titre"/>
    <w:basedOn w:val="Titre1"/>
    <w:link w:val="GrandtitreCar"/>
    <w:qFormat/>
    <w:rsid w:val="00566820"/>
    <w:rPr>
      <w:rFonts w:ascii="Calibri" w:hAnsi="Calibri"/>
      <w:sz w:val="22"/>
      <w:szCs w:val="22"/>
      <w:u w:val="single"/>
    </w:rPr>
  </w:style>
  <w:style w:type="paragraph" w:styleId="TM1">
    <w:name w:val="toc 1"/>
    <w:basedOn w:val="Normal"/>
    <w:next w:val="Normal"/>
    <w:autoRedefine/>
    <w:uiPriority w:val="39"/>
    <w:unhideWhenUsed/>
    <w:rsid w:val="004262E8"/>
    <w:pPr>
      <w:spacing w:after="100"/>
    </w:pPr>
    <w:rPr>
      <w:b/>
    </w:rPr>
  </w:style>
  <w:style w:type="character" w:customStyle="1" w:styleId="GrandtitreCar">
    <w:name w:val="Grand titre Car"/>
    <w:basedOn w:val="Titre1Car"/>
    <w:link w:val="Grandtitre"/>
    <w:rsid w:val="00566820"/>
    <w:rPr>
      <w:rFonts w:ascii="Calibri" w:eastAsia="Times New Roman" w:hAnsi="Calibri" w:cs="Arial"/>
      <w:b/>
      <w:bCs/>
      <w:smallCaps/>
      <w:kern w:val="28"/>
      <w:sz w:val="32"/>
      <w:szCs w:val="32"/>
      <w:u w:val="single"/>
      <w:lang w:eastAsia="fr-FR"/>
    </w:rPr>
  </w:style>
  <w:style w:type="paragraph" w:customStyle="1" w:styleId="Soustitre1">
    <w:name w:val="Sous titre 1"/>
    <w:basedOn w:val="Titre2"/>
    <w:link w:val="Soustitre1Car"/>
    <w:qFormat/>
    <w:rsid w:val="004262E8"/>
    <w:pPr>
      <w:numPr>
        <w:numId w:val="7"/>
      </w:numPr>
      <w:spacing w:line="276" w:lineRule="auto"/>
    </w:pPr>
    <w:rPr>
      <w:rFonts w:ascii="Calibri" w:hAnsi="Calibri"/>
      <w:i w:val="0"/>
      <w:smallCaps w:val="0"/>
      <w:sz w:val="22"/>
      <w:szCs w:val="22"/>
      <w:u w:val="single"/>
    </w:rPr>
  </w:style>
  <w:style w:type="paragraph" w:customStyle="1" w:styleId="Soussoustitre">
    <w:name w:val="Sous sous titre"/>
    <w:basedOn w:val="Titre3"/>
    <w:link w:val="SoussoustitreCar"/>
    <w:qFormat/>
    <w:rsid w:val="00104095"/>
    <w:pPr>
      <w:numPr>
        <w:numId w:val="7"/>
      </w:numPr>
    </w:pPr>
    <w:rPr>
      <w:rFonts w:asciiTheme="minorHAnsi" w:eastAsiaTheme="minorHAnsi" w:hAnsiTheme="minorHAnsi" w:cstheme="minorBidi"/>
      <w:bCs w:val="0"/>
      <w:smallCaps w:val="0"/>
      <w:color w:val="000000"/>
      <w:sz w:val="22"/>
      <w:szCs w:val="22"/>
      <w:lang w:eastAsia="en-US"/>
    </w:rPr>
  </w:style>
  <w:style w:type="character" w:customStyle="1" w:styleId="Soustitre1Car">
    <w:name w:val="Sous titre 1 Car"/>
    <w:basedOn w:val="ParagraphedelisteCar"/>
    <w:link w:val="Soustitre1"/>
    <w:rsid w:val="004262E8"/>
    <w:rPr>
      <w:rFonts w:ascii="Calibri" w:eastAsia="Times New Roman" w:hAnsi="Calibri" w:cs="Arial"/>
      <w:b/>
      <w:bCs/>
      <w:iCs/>
      <w:u w:val="single"/>
      <w:lang w:eastAsia="fr-FR"/>
    </w:rPr>
  </w:style>
  <w:style w:type="paragraph" w:styleId="En-ttedetabledesmatires">
    <w:name w:val="TOC Heading"/>
    <w:basedOn w:val="Titre1"/>
    <w:next w:val="Normal"/>
    <w:uiPriority w:val="39"/>
    <w:unhideWhenUsed/>
    <w:qFormat/>
    <w:rsid w:val="00637C40"/>
    <w:pPr>
      <w:keepLines/>
      <w:numPr>
        <w:numId w:val="0"/>
      </w:numPr>
      <w:spacing w:before="240" w:after="0" w:line="259" w:lineRule="auto"/>
      <w:jc w:val="left"/>
      <w:outlineLvl w:val="9"/>
    </w:pPr>
    <w:rPr>
      <w:rFonts w:asciiTheme="majorHAnsi" w:eastAsiaTheme="majorEastAsia" w:hAnsiTheme="majorHAnsi" w:cstheme="majorBidi"/>
      <w:b w:val="0"/>
      <w:bCs w:val="0"/>
      <w:smallCaps w:val="0"/>
      <w:color w:val="2E74B5" w:themeColor="accent1" w:themeShade="BF"/>
      <w:kern w:val="0"/>
    </w:rPr>
  </w:style>
  <w:style w:type="character" w:customStyle="1" w:styleId="SoussoustitreCar">
    <w:name w:val="Sous sous titre Car"/>
    <w:basedOn w:val="Titre3Car"/>
    <w:link w:val="Soussoustitre"/>
    <w:rsid w:val="00104095"/>
    <w:rPr>
      <w:rFonts w:ascii="Arial Narrow" w:eastAsia="Times New Roman" w:hAnsi="Arial Narrow" w:cs="Arial"/>
      <w:b/>
      <w:bCs w:val="0"/>
      <w:smallCaps w:val="0"/>
      <w:color w:val="000000"/>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5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afd.fr/fr/les-financements-des-projets-des-ong" TargetMode="External"/><Relationship Id="rId4" Type="http://schemas.openxmlformats.org/officeDocument/2006/relationships/settings" Target="settings.xml"/><Relationship Id="rId9" Type="http://schemas.openxmlformats.org/officeDocument/2006/relationships/hyperlink" Target="mailto:fisong@af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9CD24-9A88-4C9C-B887-E4B0E710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7210</Words>
  <Characters>39657</Characters>
  <Application>Microsoft Office Word</Application>
  <DocSecurity>0</DocSecurity>
  <Lines>330</Lines>
  <Paragraphs>93</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46774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PINHAS Rebecca</dc:creator>
  <cp:keywords/>
  <dc:description/>
  <cp:lastModifiedBy>TROUILLET Florence</cp:lastModifiedBy>
  <cp:revision>2</cp:revision>
  <dcterms:created xsi:type="dcterms:W3CDTF">2021-01-08T07:18:00Z</dcterms:created>
  <dcterms:modified xsi:type="dcterms:W3CDTF">2021-01-08T07:18:00Z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id="XirzSxWp"/&gt;&lt;style id="http://www.zotero.org/styles/chicago-fullnote-bibliography" locale="fr-FR" hasBibliography="1" bibliographyStyleHasBeenSet="1"/&gt;&lt;prefs&gt;&lt;pref name="noteType" value="1"/&gt;&lt;pref</vt:lpwstr>
  </property>
  <property fmtid="{D5CDD505-2E9C-101B-9397-08002B2CF9AE}" pid="3" name="ZOTERO_PREF_2">
    <vt:lpwstr> name="fieldType" value="Field"/&gt;&lt;/prefs&gt;&lt;/data&gt;</vt:lpwstr>
  </property>
</Properties>
</file>